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6" w:lineRule="exact"/>
        <w:jc w:val="left"/>
        <w:rPr>
          <w:rFonts w:ascii="仿宋_GB2312" w:hAnsi="仿宋_GB2312" w:eastAsia="仿宋_GB2312" w:cs="仿宋_GB2312"/>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 xml:space="preserve">2 </w:t>
      </w:r>
      <w:r>
        <w:rPr>
          <w:rFonts w:ascii="仿宋_GB2312" w:hAnsi="仿宋_GB2312" w:eastAsia="仿宋_GB2312" w:cs="仿宋_GB2312"/>
          <w:sz w:val="32"/>
          <w:szCs w:val="32"/>
        </w:rPr>
        <w:t xml:space="preserve">   </w:t>
      </w:r>
    </w:p>
    <w:p>
      <w:pPr>
        <w:spacing w:line="560" w:lineRule="exact"/>
        <w:jc w:val="center"/>
        <w:rPr>
          <w:rFonts w:ascii="仿宋_GB2312" w:eastAsia="仿宋_GB2312"/>
          <w:sz w:val="40"/>
          <w:szCs w:val="40"/>
        </w:rPr>
      </w:pPr>
      <w:r>
        <w:rPr>
          <w:rFonts w:hint="eastAsia" w:ascii="方正小标宋_GBK" w:eastAsia="方正小标宋_GBK" w:cs="方正小标宋_GBK"/>
          <w:sz w:val="40"/>
          <w:szCs w:val="40"/>
        </w:rPr>
        <w:t>广元市建筑工人实名制管理服务信息平台合作银行比选条件</w:t>
      </w:r>
    </w:p>
    <w:tbl>
      <w:tblPr>
        <w:tblStyle w:val="8"/>
        <w:tblW w:w="13811"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52"/>
        <w:gridCol w:w="5177"/>
        <w:gridCol w:w="5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2" w:hRule="atLeast"/>
          <w:tblHeader/>
        </w:trPr>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bCs/>
                <w:color w:val="000000"/>
              </w:rPr>
            </w:pPr>
            <w:r>
              <w:rPr>
                <w:rFonts w:hint="eastAsia" w:ascii="宋体" w:hAnsi="宋体" w:cs="宋体"/>
                <w:b/>
                <w:bCs/>
                <w:color w:val="000000"/>
                <w:kern w:val="0"/>
              </w:rPr>
              <w:t>条件类别</w:t>
            </w: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bCs/>
                <w:color w:val="000000"/>
              </w:rPr>
            </w:pPr>
            <w:r>
              <w:rPr>
                <w:rFonts w:hint="eastAsia" w:ascii="宋体" w:hAnsi="宋体" w:cs="宋体"/>
                <w:b/>
                <w:bCs/>
                <w:color w:val="000000"/>
                <w:kern w:val="0"/>
              </w:rPr>
              <w:t>具体条件</w:t>
            </w:r>
          </w:p>
        </w:tc>
        <w:tc>
          <w:tcPr>
            <w:tcW w:w="59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cs="宋体"/>
                <w:b/>
                <w:bCs/>
                <w:color w:val="000000"/>
                <w:kern w:val="0"/>
              </w:rPr>
            </w:pPr>
            <w:r>
              <w:rPr>
                <w:rFonts w:hint="eastAsia" w:ascii="宋体" w:hAnsi="宋体" w:cs="宋体"/>
                <w:b/>
                <w:bCs/>
                <w:color w:val="000000"/>
                <w:kern w:val="0"/>
              </w:rPr>
              <w:t>资料要求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2652" w:type="dxa"/>
            <w:vMerge w:val="restart"/>
            <w:tcBorders>
              <w:top w:val="single" w:color="000000" w:sz="4" w:space="0"/>
              <w:left w:val="single" w:color="000000" w:sz="4" w:space="0"/>
              <w:right w:val="single" w:color="000000" w:sz="4" w:space="0"/>
            </w:tcBorders>
            <w:vAlign w:val="center"/>
          </w:tcPr>
          <w:p>
            <w:pPr>
              <w:widowControl/>
              <w:tabs>
                <w:tab w:val="left" w:pos="0"/>
              </w:tabs>
              <w:spacing w:line="360" w:lineRule="exact"/>
              <w:jc w:val="center"/>
              <w:textAlignment w:val="center"/>
              <w:rPr>
                <w:rFonts w:ascii="宋体" w:cs="宋体"/>
                <w:b/>
                <w:bCs/>
                <w:color w:val="000000"/>
                <w:kern w:val="0"/>
              </w:rPr>
            </w:pPr>
            <w:r>
              <w:rPr>
                <w:rFonts w:hint="eastAsia" w:ascii="宋体" w:hAnsi="宋体" w:cs="宋体"/>
                <w:b/>
                <w:bCs/>
                <w:color w:val="000000"/>
                <w:kern w:val="0"/>
              </w:rPr>
              <w:t>一、必备条件</w:t>
            </w:r>
          </w:p>
          <w:p>
            <w:pPr>
              <w:widowControl/>
              <w:spacing w:line="360" w:lineRule="exact"/>
              <w:jc w:val="center"/>
              <w:textAlignment w:val="center"/>
              <w:rPr>
                <w:rFonts w:ascii="宋体" w:cs="宋体"/>
                <w:b/>
                <w:bCs/>
                <w:color w:val="000000"/>
                <w:kern w:val="0"/>
              </w:rPr>
            </w:pPr>
            <w:r>
              <w:rPr>
                <w:rFonts w:hint="eastAsia" w:ascii="宋体" w:hAnsi="宋体" w:cs="宋体"/>
                <w:b/>
                <w:bCs/>
                <w:color w:val="000000"/>
                <w:kern w:val="0"/>
              </w:rPr>
              <w:t>（</w:t>
            </w:r>
            <w:r>
              <w:rPr>
                <w:rFonts w:hint="eastAsia" w:ascii="宋体" w:hAnsi="宋体" w:cs="宋体"/>
                <w:color w:val="000000"/>
              </w:rPr>
              <w:t>必须同时满足每一个条件</w:t>
            </w:r>
            <w:r>
              <w:rPr>
                <w:rFonts w:hint="eastAsia" w:ascii="宋体" w:hAnsi="宋体" w:cs="宋体"/>
                <w:b/>
                <w:bCs/>
                <w:color w:val="000000"/>
                <w:kern w:val="0"/>
              </w:rPr>
              <w:t>）</w:t>
            </w: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①注册在广元市辖区的银行且具有金融许可资格证</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提供金融许可资格证复印件，并加盖公章。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②银行综合实力强、信誉好、社会认可度高</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提供银行综合实力强、信誉好、社会认可度高等方面综合介绍材料（</w:t>
            </w:r>
            <w:r>
              <w:rPr>
                <w:rFonts w:ascii="宋体" w:hAnsi="宋体" w:cs="宋体"/>
                <w:color w:val="000000"/>
                <w:kern w:val="0"/>
              </w:rPr>
              <w:t>2</w:t>
            </w:r>
            <w:r>
              <w:rPr>
                <w:rFonts w:hint="eastAsia" w:ascii="宋体" w:hAnsi="宋体" w:cs="宋体"/>
                <w:color w:val="000000"/>
                <w:kern w:val="0"/>
              </w:rPr>
              <w:t>页纸以内），并加盖公章。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③在市中心城区及部分县区城区设立有分支机构或服务网点</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提供各分支机构或服务网点所在区域及其具体地址、主要负责人等信息，并编辑成表格。同时，也可提供网点分布图。并盖公章。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④</w:t>
            </w:r>
            <w:r>
              <w:rPr>
                <w:rFonts w:ascii="宋体" w:hAnsi="宋体" w:cs="宋体"/>
                <w:color w:val="000000"/>
                <w:kern w:val="0"/>
              </w:rPr>
              <w:t>2019-2021</w:t>
            </w:r>
            <w:r>
              <w:rPr>
                <w:rFonts w:hint="eastAsia" w:ascii="宋体" w:hAnsi="宋体" w:cs="宋体"/>
                <w:color w:val="000000"/>
                <w:kern w:val="0"/>
              </w:rPr>
              <w:t>年度人民银行综合评价均不低于</w:t>
            </w:r>
            <w:r>
              <w:rPr>
                <w:rFonts w:ascii="宋体" w:hAnsi="宋体" w:cs="宋体"/>
                <w:color w:val="000000"/>
                <w:kern w:val="0"/>
              </w:rPr>
              <w:t>B</w:t>
            </w:r>
            <w:r>
              <w:rPr>
                <w:rFonts w:hint="eastAsia" w:ascii="宋体" w:hAnsi="宋体" w:cs="宋体"/>
                <w:color w:val="000000"/>
                <w:kern w:val="0"/>
              </w:rPr>
              <w:t>档</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w:t>
            </w:r>
            <w:r>
              <w:rPr>
                <w:rFonts w:ascii="宋体" w:hAnsi="宋体" w:cs="宋体"/>
                <w:color w:val="000000"/>
                <w:kern w:val="0"/>
              </w:rPr>
              <w:t>2019-2021</w:t>
            </w:r>
            <w:r>
              <w:rPr>
                <w:rFonts w:hint="eastAsia" w:ascii="宋体" w:hAnsi="宋体" w:cs="宋体"/>
                <w:color w:val="000000"/>
                <w:kern w:val="0"/>
              </w:rPr>
              <w:t>年度人民银行出具的综合评价档次结论证明的复印件，并加盖公章。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4"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⑤近</w:t>
            </w:r>
            <w:r>
              <w:rPr>
                <w:rFonts w:ascii="宋体" w:hAnsi="宋体" w:cs="宋体"/>
                <w:color w:val="000000"/>
                <w:kern w:val="0"/>
              </w:rPr>
              <w:t>3</w:t>
            </w:r>
            <w:r>
              <w:rPr>
                <w:rFonts w:hint="eastAsia" w:ascii="宋体" w:hAnsi="宋体" w:cs="宋体"/>
                <w:color w:val="000000"/>
                <w:kern w:val="0"/>
              </w:rPr>
              <w:t>年未发生重大违法违规案件</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w:t>
            </w:r>
            <w:r>
              <w:rPr>
                <w:rFonts w:ascii="宋体" w:hAnsi="宋体" w:cs="宋体"/>
                <w:color w:val="000000"/>
                <w:kern w:val="0"/>
              </w:rPr>
              <w:t>2019-2021</w:t>
            </w:r>
            <w:r>
              <w:rPr>
                <w:rFonts w:hint="eastAsia" w:ascii="宋体" w:hAnsi="宋体" w:cs="宋体"/>
                <w:color w:val="000000"/>
                <w:kern w:val="0"/>
              </w:rPr>
              <w:t>年度未发生重大违法违规案件承诺书或某些年度发生重大违法违规案件的书面说明（</w:t>
            </w:r>
            <w:r>
              <w:rPr>
                <w:rFonts w:ascii="宋体" w:hAnsi="宋体" w:cs="宋体"/>
                <w:color w:val="000000"/>
                <w:kern w:val="0"/>
              </w:rPr>
              <w:t>2</w:t>
            </w:r>
            <w:r>
              <w:rPr>
                <w:rFonts w:hint="eastAsia" w:ascii="宋体" w:hAnsi="宋体" w:cs="宋体"/>
                <w:color w:val="000000"/>
                <w:kern w:val="0"/>
              </w:rPr>
              <w:t>页纸以内），并加盖公章。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⑥免费为拟开展建筑工人工资专户及建筑工人工资直付的项目总承包企业提供身份证读卡器、考勤机、道闸等相关必要设备</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提供本条要求的承诺书，并加盖公章。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2652" w:type="dxa"/>
            <w:vMerge w:val="continue"/>
            <w:tcBorders>
              <w:left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rPr>
            </w:pPr>
            <w:r>
              <w:rPr>
                <w:rFonts w:hint="eastAsia" w:ascii="宋体" w:hAnsi="宋体" w:cs="宋体"/>
                <w:color w:val="000000"/>
                <w:kern w:val="0"/>
              </w:rPr>
              <w:t>⑦不得拒绝任何项目总承包企业提出的开设建筑工人工资专户及工资直付服务、提供项目现场身份证读卡器、考勤机、道闸等相关必要设备的申请</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提供本条要求的承诺书，并加盖公章。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652" w:type="dxa"/>
            <w:vMerge w:val="continue"/>
            <w:tcBorders>
              <w:left w:val="single" w:color="000000" w:sz="4" w:space="0"/>
              <w:bottom w:val="single" w:color="000000" w:sz="4" w:space="0"/>
              <w:right w:val="single" w:color="000000" w:sz="4" w:space="0"/>
            </w:tcBorders>
            <w:vAlign w:val="center"/>
          </w:tcPr>
          <w:p>
            <w:pPr>
              <w:spacing w:line="36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⑧在施工企业提出书面申请后的</w:t>
            </w:r>
            <w:r>
              <w:rPr>
                <w:rFonts w:ascii="宋体" w:hAnsi="宋体" w:cs="宋体"/>
                <w:color w:val="000000"/>
                <w:kern w:val="0"/>
              </w:rPr>
              <w:t>5</w:t>
            </w:r>
            <w:r>
              <w:rPr>
                <w:rFonts w:hint="eastAsia" w:ascii="宋体" w:hAnsi="宋体" w:cs="宋体"/>
                <w:color w:val="000000"/>
                <w:kern w:val="0"/>
              </w:rPr>
              <w:t>个工作日内，对项目现场设备进行安装、升级、维修、维护。</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cs="宋体"/>
                <w:color w:val="000000"/>
                <w:kern w:val="0"/>
              </w:rPr>
            </w:pPr>
            <w:r>
              <w:rPr>
                <w:rFonts w:hint="eastAsia" w:ascii="宋体" w:hAnsi="宋体" w:cs="宋体"/>
                <w:color w:val="000000"/>
                <w:kern w:val="0"/>
              </w:rPr>
              <w:t>提供本条要求的承诺书，并加盖公章。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trPr>
        <w:tc>
          <w:tcPr>
            <w:tcW w:w="2652"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cs="宋体"/>
                <w:b/>
                <w:bCs/>
                <w:color w:val="000000"/>
              </w:rPr>
            </w:pPr>
            <w:r>
              <w:rPr>
                <w:rFonts w:hint="eastAsia" w:ascii="宋体" w:hAnsi="宋体" w:cs="宋体"/>
                <w:b/>
                <w:bCs/>
                <w:color w:val="000000"/>
                <w:kern w:val="0"/>
              </w:rPr>
              <w:t>二、比选条件</w:t>
            </w: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kern w:val="0"/>
              </w:rPr>
              <w:t>①内控制度是否健全且该项业务有制约监督机制</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提供具备完善的内控制度以及制约监督机制的介绍材料，并加盖公章。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652" w:type="dxa"/>
            <w:vMerge w:val="continue"/>
            <w:tcBorders>
              <w:left w:val="single" w:color="000000"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kern w:val="0"/>
              </w:rPr>
              <w:t>②具备完善的资金结算体系，能实现跨行代发代扣功能、且不收取跨行手续费用</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①提供具备完善的资金结算体系的综合介绍材料（</w:t>
            </w:r>
            <w:r>
              <w:rPr>
                <w:rFonts w:ascii="宋体" w:hAnsi="宋体" w:cs="宋体"/>
                <w:color w:val="000000"/>
                <w:kern w:val="0"/>
              </w:rPr>
              <w:t>2</w:t>
            </w:r>
            <w:r>
              <w:rPr>
                <w:rFonts w:hint="eastAsia" w:ascii="宋体" w:hAnsi="宋体" w:cs="宋体"/>
                <w:color w:val="000000"/>
                <w:kern w:val="0"/>
              </w:rPr>
              <w:t>页纸以内）以及相关管理机制和制度，并加盖公章。</w:t>
            </w:r>
          </w:p>
          <w:p>
            <w:pPr>
              <w:widowControl/>
              <w:spacing w:line="280" w:lineRule="exact"/>
              <w:jc w:val="left"/>
              <w:textAlignment w:val="center"/>
              <w:rPr>
                <w:rFonts w:ascii="宋体" w:cs="宋体"/>
                <w:color w:val="000000"/>
                <w:kern w:val="0"/>
              </w:rPr>
            </w:pPr>
            <w:r>
              <w:rPr>
                <w:rFonts w:hint="eastAsia" w:ascii="宋体" w:hAnsi="宋体" w:cs="宋体"/>
                <w:color w:val="000000"/>
                <w:kern w:val="0"/>
              </w:rPr>
              <w:t>②提供能实现跨行代发代扣功能、且不收取跨行手续费用的说明（</w:t>
            </w:r>
            <w:r>
              <w:rPr>
                <w:rFonts w:ascii="宋体" w:hAnsi="宋体" w:cs="宋体"/>
                <w:color w:val="000000"/>
                <w:kern w:val="0"/>
              </w:rPr>
              <w:t>2</w:t>
            </w:r>
            <w:r>
              <w:rPr>
                <w:rFonts w:hint="eastAsia" w:ascii="宋体" w:hAnsi="宋体" w:cs="宋体"/>
                <w:color w:val="000000"/>
                <w:kern w:val="0"/>
              </w:rPr>
              <w:t>页纸以内）以及相关文件资料，并加盖公章。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2652" w:type="dxa"/>
            <w:vMerge w:val="continue"/>
            <w:tcBorders>
              <w:left w:val="single" w:color="000000"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kern w:val="0"/>
              </w:rPr>
              <w:t>③具备完善的资金监管体系，具有省、市重大项目资金监管工作经验和案例</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①提供具备完善的资金监管体系的综合介绍材料（</w:t>
            </w:r>
            <w:r>
              <w:rPr>
                <w:rFonts w:ascii="宋体" w:hAnsi="宋体" w:cs="宋体"/>
                <w:color w:val="000000"/>
                <w:kern w:val="0"/>
              </w:rPr>
              <w:t>2</w:t>
            </w:r>
            <w:r>
              <w:rPr>
                <w:rFonts w:hint="eastAsia" w:ascii="宋体" w:hAnsi="宋体" w:cs="宋体"/>
                <w:color w:val="000000"/>
                <w:kern w:val="0"/>
              </w:rPr>
              <w:t>页纸以内）以及相关管理机制和制度，并加盖公章。</w:t>
            </w:r>
          </w:p>
          <w:p>
            <w:pPr>
              <w:widowControl/>
              <w:spacing w:line="280" w:lineRule="exact"/>
              <w:jc w:val="left"/>
              <w:textAlignment w:val="center"/>
              <w:rPr>
                <w:rFonts w:ascii="宋体" w:cs="宋体"/>
                <w:color w:val="000000"/>
                <w:kern w:val="0"/>
              </w:rPr>
            </w:pPr>
            <w:r>
              <w:rPr>
                <w:rFonts w:hint="eastAsia" w:ascii="宋体" w:hAnsi="宋体" w:cs="宋体"/>
                <w:color w:val="000000"/>
                <w:kern w:val="0"/>
              </w:rPr>
              <w:t>②提供国家级、部委级、省级、市级的重大项目资金监管情况（包括项目层次、项目名称、投资规模及成效等），编制成表格，并加盖公章。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2652" w:type="dxa"/>
            <w:vMerge w:val="continue"/>
            <w:tcBorders>
              <w:left w:val="single" w:color="000000"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④具有上门为项目总承包企业建筑工人免费办理并激活工资卡（借记卡）的能力</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①提供能上门为项目总承包企业建筑工人免费现场办理并激活工资卡（借记卡）的设备名称及图片、技术介绍，并加盖公章；</w:t>
            </w:r>
          </w:p>
          <w:p>
            <w:pPr>
              <w:widowControl/>
              <w:spacing w:line="280" w:lineRule="exact"/>
              <w:jc w:val="left"/>
              <w:textAlignment w:val="center"/>
              <w:rPr>
                <w:rFonts w:ascii="宋体" w:cs="宋体"/>
                <w:color w:val="000000"/>
                <w:kern w:val="0"/>
              </w:rPr>
            </w:pPr>
            <w:r>
              <w:rPr>
                <w:rFonts w:hint="eastAsia" w:ascii="宋体" w:hAnsi="宋体" w:cs="宋体"/>
                <w:color w:val="000000"/>
                <w:kern w:val="0"/>
              </w:rPr>
              <w:t>②提供上门办理激活工资卡（借记卡）的成功案例佐证材料，并加盖公章；</w:t>
            </w:r>
          </w:p>
          <w:p>
            <w:pPr>
              <w:widowControl/>
              <w:spacing w:line="280" w:lineRule="exact"/>
              <w:jc w:val="left"/>
              <w:textAlignment w:val="center"/>
              <w:rPr>
                <w:rFonts w:ascii="宋体" w:cs="宋体"/>
                <w:color w:val="000000"/>
                <w:kern w:val="0"/>
              </w:rPr>
            </w:pPr>
            <w:r>
              <w:rPr>
                <w:rFonts w:hint="eastAsia" w:ascii="宋体" w:hAnsi="宋体" w:cs="宋体"/>
                <w:color w:val="000000"/>
                <w:kern w:val="0"/>
              </w:rPr>
              <w:t>③作出上门为项目总承包企业建筑工人免费服务的书面承诺，并加盖公章。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 w:hRule="atLeast"/>
        </w:trPr>
        <w:tc>
          <w:tcPr>
            <w:tcW w:w="2652" w:type="dxa"/>
            <w:vMerge w:val="continue"/>
            <w:tcBorders>
              <w:left w:val="single" w:color="000000"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rPr>
              <w:t>⑤</w:t>
            </w:r>
            <w:r>
              <w:rPr>
                <w:rFonts w:ascii="宋体" w:hAnsi="宋体" w:cs="宋体"/>
                <w:color w:val="000000"/>
              </w:rPr>
              <w:t>2021</w:t>
            </w:r>
            <w:r>
              <w:rPr>
                <w:rFonts w:hint="eastAsia" w:ascii="宋体" w:hAnsi="宋体" w:cs="宋体"/>
                <w:color w:val="000000"/>
              </w:rPr>
              <w:t>年度消费者权益保障评级</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提供</w:t>
            </w:r>
            <w:r>
              <w:rPr>
                <w:rFonts w:ascii="宋体" w:hAnsi="宋体" w:cs="宋体"/>
                <w:color w:val="000000"/>
                <w:kern w:val="0"/>
              </w:rPr>
              <w:t>2021</w:t>
            </w:r>
            <w:r>
              <w:rPr>
                <w:rFonts w:hint="eastAsia" w:ascii="宋体" w:hAnsi="宋体" w:cs="宋体"/>
                <w:color w:val="000000"/>
                <w:kern w:val="0"/>
              </w:rPr>
              <w:t>年度市人民银行评定的消费者权益保障评级相关证明文件或证书复印件，并加盖公章。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3" w:hRule="atLeast"/>
        </w:trPr>
        <w:tc>
          <w:tcPr>
            <w:tcW w:w="2652" w:type="dxa"/>
            <w:vMerge w:val="continue"/>
            <w:tcBorders>
              <w:left w:val="single" w:color="000000"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kern w:val="0"/>
              </w:rPr>
              <w:t>⑥对建筑工人办理工资卡的储蓄存款按照不低于国家规定</w:t>
            </w:r>
            <w:r>
              <w:rPr>
                <w:rFonts w:ascii="宋体" w:hAnsi="宋体" w:cs="宋体"/>
                <w:color w:val="000000"/>
                <w:kern w:val="0"/>
              </w:rPr>
              <w:t>1</w:t>
            </w:r>
            <w:r>
              <w:rPr>
                <w:rFonts w:hint="eastAsia" w:ascii="宋体" w:hAnsi="宋体" w:cs="宋体"/>
                <w:color w:val="000000"/>
                <w:kern w:val="0"/>
              </w:rPr>
              <w:t>年期定期存款基准利率的基础上上浮一定比例的利率计取利息</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提供对应本条要求的建筑工人工资卡各类存款利率计取标准，编辑成表格并加盖公章。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trPr>
        <w:tc>
          <w:tcPr>
            <w:tcW w:w="2652" w:type="dxa"/>
            <w:vMerge w:val="continue"/>
            <w:tcBorders>
              <w:left w:val="single" w:color="000000" w:sz="4" w:space="0"/>
              <w:bottom w:val="single" w:color="auto" w:sz="4" w:space="0"/>
              <w:right w:val="single" w:color="000000" w:sz="4" w:space="0"/>
            </w:tcBorders>
            <w:vAlign w:val="center"/>
          </w:tcPr>
          <w:p>
            <w:pPr>
              <w:spacing w:line="280" w:lineRule="exact"/>
              <w:rPr>
                <w:rFonts w:ascii="宋体" w:cs="宋体"/>
              </w:rPr>
            </w:pPr>
          </w:p>
        </w:tc>
        <w:tc>
          <w:tcPr>
            <w:tcW w:w="51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rPr>
            </w:pPr>
            <w:r>
              <w:rPr>
                <w:rFonts w:hint="eastAsia" w:ascii="宋体" w:hAnsi="宋体" w:cs="宋体"/>
                <w:color w:val="000000"/>
                <w:kern w:val="0"/>
              </w:rPr>
              <w:t>⑦具有较丰富</w:t>
            </w:r>
            <w:r>
              <w:rPr>
                <w:rFonts w:hint="eastAsia" w:ascii="宋体" w:hAnsi="宋体" w:cs="宋体"/>
                <w:color w:val="000000"/>
                <w:kern w:val="0"/>
                <w:lang w:eastAsia="zh-CN"/>
              </w:rPr>
              <w:t>的</w:t>
            </w:r>
            <w:r>
              <w:rPr>
                <w:rFonts w:hint="eastAsia" w:ascii="宋体" w:hAnsi="宋体" w:cs="宋体"/>
                <w:color w:val="000000"/>
                <w:kern w:val="0"/>
              </w:rPr>
              <w:t>开设各类银行专用存款账户的工作经验及较强的管理能力</w:t>
            </w:r>
          </w:p>
        </w:tc>
        <w:tc>
          <w:tcPr>
            <w:tcW w:w="59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rPr>
            </w:pPr>
            <w:r>
              <w:rPr>
                <w:rFonts w:hint="eastAsia" w:ascii="宋体" w:hAnsi="宋体" w:cs="宋体"/>
                <w:color w:val="000000"/>
                <w:kern w:val="0"/>
              </w:rPr>
              <w:t>①提供各类专用存款账户存款单位、名称、金额并编辑成表格；</w:t>
            </w:r>
          </w:p>
          <w:p>
            <w:pPr>
              <w:widowControl/>
              <w:spacing w:line="280" w:lineRule="exact"/>
              <w:jc w:val="left"/>
              <w:textAlignment w:val="center"/>
              <w:rPr>
                <w:rFonts w:ascii="宋体" w:cs="宋体"/>
                <w:color w:val="000000"/>
                <w:kern w:val="0"/>
              </w:rPr>
            </w:pPr>
            <w:r>
              <w:rPr>
                <w:rFonts w:hint="eastAsia" w:ascii="宋体" w:hAnsi="宋体" w:cs="宋体"/>
                <w:color w:val="000000"/>
                <w:kern w:val="0"/>
              </w:rPr>
              <w:t>②提供介绍各类专户管理经验及能力的介绍材料（</w:t>
            </w:r>
            <w:r>
              <w:rPr>
                <w:rFonts w:ascii="宋体" w:hAnsi="宋体" w:cs="宋体"/>
                <w:color w:val="000000"/>
                <w:kern w:val="0"/>
              </w:rPr>
              <w:t>2</w:t>
            </w:r>
            <w:r>
              <w:rPr>
                <w:rFonts w:hint="eastAsia" w:ascii="宋体" w:hAnsi="宋体" w:cs="宋体"/>
                <w:color w:val="000000"/>
                <w:kern w:val="0"/>
              </w:rPr>
              <w:t>页纸以内），并加盖公章。</w:t>
            </w:r>
          </w:p>
        </w:tc>
      </w:tr>
    </w:tbl>
    <w:p>
      <w:pPr>
        <w:spacing w:line="320" w:lineRule="exact"/>
      </w:pPr>
    </w:p>
    <w:sectPr>
      <w:footerReference r:id="rId4"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outside" w:y="1"/>
      <w:rPr>
        <w:rStyle w:val="7"/>
        <w:rFonts w:ascii="宋体" w:cs="宋体"/>
        <w:sz w:val="28"/>
        <w:szCs w:val="28"/>
      </w:rPr>
    </w:pPr>
    <w:r>
      <w:rPr>
        <w:rStyle w:val="7"/>
        <w:rFonts w:ascii="宋体" w:hAnsi="宋体" w:cs="宋体"/>
        <w:sz w:val="28"/>
        <w:szCs w:val="28"/>
      </w:rPr>
      <w:t xml:space="preserve">— </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2</w:t>
    </w:r>
    <w:r>
      <w:rPr>
        <w:rStyle w:val="7"/>
        <w:rFonts w:ascii="宋体" w:hAnsi="宋体" w:cs="宋体"/>
        <w:sz w:val="28"/>
        <w:szCs w:val="28"/>
      </w:rPr>
      <w:fldChar w:fldCharType="end"/>
    </w:r>
    <w:r>
      <w:rPr>
        <w:rStyle w:val="7"/>
        <w:rFonts w:ascii="宋体" w:hAnsi="宋体" w:cs="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3366AED"/>
    <w:rsid w:val="00254974"/>
    <w:rsid w:val="00584123"/>
    <w:rsid w:val="00710B95"/>
    <w:rsid w:val="00756CF5"/>
    <w:rsid w:val="00EB3078"/>
    <w:rsid w:val="00F23AE1"/>
    <w:rsid w:val="0A5A45F4"/>
    <w:rsid w:val="13366AED"/>
    <w:rsid w:val="18D25127"/>
    <w:rsid w:val="743B0653"/>
    <w:rsid w:val="76D69A3A"/>
    <w:rsid w:val="F76B0AC4"/>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spacing w:beforeAutospacing="1" w:afterAutospacing="1"/>
      <w:jc w:val="left"/>
      <w:outlineLvl w:val="0"/>
    </w:pPr>
    <w:rPr>
      <w:rFonts w:ascii="宋体" w:hAnsi="宋体" w:cs="宋体"/>
      <w:b/>
      <w:bCs/>
      <w:kern w:val="44"/>
      <w:sz w:val="48"/>
      <w:szCs w:val="48"/>
    </w:rPr>
  </w:style>
  <w:style w:type="character" w:default="1" w:styleId="6">
    <w:name w:val="Default Paragraph Font"/>
    <w:semiHidden/>
    <w:qFormat/>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7">
    <w:name w:val="page number"/>
    <w:basedOn w:val="6"/>
    <w:qFormat/>
    <w:uiPriority w:val="99"/>
    <w:rPr/>
  </w:style>
  <w:style w:type="character" w:customStyle="1" w:styleId="9">
    <w:name w:val="Heading 1 Char"/>
    <w:basedOn w:val="6"/>
    <w:link w:val="2"/>
    <w:qFormat/>
    <w:uiPriority w:val="9"/>
    <w:rPr>
      <w:rFonts w:ascii="Calibri" w:hAnsi="Calibri" w:cs="Calibri"/>
      <w:b/>
      <w:bCs/>
      <w:kern w:val="44"/>
      <w:sz w:val="44"/>
      <w:szCs w:val="44"/>
    </w:rPr>
  </w:style>
  <w:style w:type="character" w:customStyle="1" w:styleId="10">
    <w:name w:val="Footer Char"/>
    <w:basedOn w:val="6"/>
    <w:link w:val="3"/>
    <w:semiHidden/>
    <w:qFormat/>
    <w:uiPriority w:val="99"/>
    <w:rPr>
      <w:rFonts w:ascii="Calibri" w:hAnsi="Calibri" w:cs="Calibri"/>
      <w:sz w:val="18"/>
      <w:szCs w:val="18"/>
    </w:rPr>
  </w:style>
  <w:style w:type="character" w:customStyle="1" w:styleId="11">
    <w:name w:val="Header Char"/>
    <w:basedOn w:val="6"/>
    <w:link w:val="4"/>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424</Words>
  <Characters>2420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2022-03-22T16:32:00Z</dcterms:created>
  <dc:creator>三十</dc:creator>
  <cp:lastModifiedBy>ALICAY</cp:lastModifiedBy>
  <cp:lastPrinted>2022-03-22T16:32:00Z</cp:lastPrinted>
  <dcterms:modified xsi:type="dcterms:W3CDTF">2023-07-17T02:32:38Z</dcterms:modified>
  <dc:title>广元市住房和城乡建设局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A9D48C1E4F8D4AB390B40A0742C953EF</vt:lpwstr>
  </property>
</Properties>
</file>