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78441"/>
      <w:bookmarkStart w:id="4" w:name="_Toc5619"/>
      <w:bookmarkStart w:id="5" w:name="_Toc15396475"/>
      <w:bookmarkStart w:id="6" w:name="_Toc15377193"/>
      <w:bookmarkStart w:id="7" w:name="_Toc5698"/>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8" w:name="_Toc29544"/>
      <w:bookmarkStart w:id="9" w:name="_Toc29210"/>
      <w:bookmarkStart w:id="10" w:name="_Toc15378442"/>
      <w:bookmarkStart w:id="11" w:name="_Toc15396476"/>
      <w:bookmarkStart w:id="12" w:name="_Toc15396598"/>
      <w:bookmarkStart w:id="13" w:name="_Toc15377426"/>
      <w:bookmarkStart w:id="14" w:name="_Toc15377194"/>
      <w:r>
        <w:rPr>
          <w:rFonts w:hint="eastAsia" w:ascii="方正小标宋简体" w:hAnsi="宋体" w:eastAsia="方正小标宋简体"/>
          <w:color w:val="000000"/>
          <w:sz w:val="72"/>
          <w:szCs w:val="72"/>
        </w:rPr>
        <w:t>广元</w:t>
      </w:r>
      <w:bookmarkEnd w:id="0"/>
      <w:bookmarkStart w:id="15" w:name="_Toc15306268"/>
      <w:r>
        <w:rPr>
          <w:rFonts w:hint="eastAsia" w:ascii="方正小标宋简体" w:hAnsi="宋体" w:eastAsia="方正小标宋简体"/>
          <w:color w:val="000000"/>
          <w:sz w:val="72"/>
          <w:szCs w:val="72"/>
        </w:rPr>
        <w:t>市房地产管理处</w:t>
      </w:r>
      <w:bookmarkEnd w:id="8"/>
      <w:bookmarkEnd w:id="9"/>
    </w:p>
    <w:p>
      <w:pPr>
        <w:adjustRightInd w:val="0"/>
        <w:snapToGrid w:val="0"/>
        <w:spacing w:line="360" w:lineRule="auto"/>
        <w:jc w:val="center"/>
        <w:outlineLvl w:val="0"/>
        <w:rPr>
          <w:rFonts w:ascii="方正小标宋简体" w:hAnsi="宋体" w:eastAsia="方正小标宋简体"/>
          <w:color w:val="000000"/>
          <w:sz w:val="72"/>
          <w:szCs w:val="72"/>
        </w:rPr>
      </w:pPr>
      <w:bookmarkStart w:id="16" w:name="_Toc20454"/>
      <w:bookmarkStart w:id="17" w:name="_Toc17653"/>
      <w:r>
        <w:rPr>
          <w:rFonts w:hint="eastAsia" w:ascii="方正小标宋简体" w:hAnsi="宋体" w:eastAsia="方正小标宋简体"/>
          <w:color w:val="000000"/>
          <w:sz w:val="72"/>
          <w:szCs w:val="72"/>
        </w:rPr>
        <w:t>部门决算</w:t>
      </w:r>
      <w:bookmarkEnd w:id="10"/>
      <w:bookmarkEnd w:id="11"/>
      <w:bookmarkEnd w:id="12"/>
      <w:bookmarkEnd w:id="13"/>
      <w:bookmarkEnd w:id="14"/>
      <w:bookmarkEnd w:id="15"/>
      <w:bookmarkEnd w:id="16"/>
      <w:bookmarkEnd w:id="17"/>
    </w:p>
    <w:p>
      <w:pPr>
        <w:widowControl/>
        <w:jc w:val="center"/>
        <w:rPr>
          <w:rFonts w:ascii="黑体" w:hAnsi="黑体" w:eastAsia="黑体"/>
          <w:sz w:val="28"/>
          <w:szCs w:val="2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10"/>
      </w:pPr>
      <w:r>
        <w:rPr>
          <w:rFonts w:hint="eastAsia"/>
        </w:rPr>
        <w:t>公开时间：</w:t>
      </w:r>
      <w:r>
        <w:t>2021</w:t>
      </w:r>
      <w:r>
        <w:rPr>
          <w:rFonts w:hint="eastAsia"/>
        </w:rPr>
        <w:t>年</w:t>
      </w:r>
      <w:r>
        <w:rPr>
          <w:rFonts w:hint="eastAsia"/>
          <w:lang w:val="en-US" w:eastAsia="zh-CN"/>
        </w:rPr>
        <w:t>9</w:t>
      </w:r>
      <w:r>
        <w:rPr>
          <w:rFonts w:hint="eastAsia"/>
        </w:rPr>
        <w:t xml:space="preserve"> 月</w:t>
      </w:r>
      <w:r>
        <w:rPr>
          <w:rFonts w:hint="eastAsia"/>
          <w:lang w:val="en-US" w:eastAsia="zh-CN"/>
        </w:rPr>
        <w:t>26</w:t>
      </w:r>
      <w:r>
        <w:rPr>
          <w:rFonts w:hint="eastAsia"/>
        </w:rPr>
        <w:t xml:space="preserve"> 日</w:t>
      </w:r>
      <w:bookmarkStart w:id="18" w:name="_Toc15377196"/>
      <w:bookmarkStart w:id="19" w:name="_Toc15396599"/>
    </w:p>
    <w:p>
      <w:pPr>
        <w:pStyle w:val="30"/>
        <w:tabs>
          <w:tab w:val="right" w:leader="dot" w:pos="8306"/>
        </w:tabs>
        <w:rPr>
          <w:b/>
        </w:rPr>
      </w:pPr>
      <w:r>
        <w:fldChar w:fldCharType="begin"/>
      </w:r>
      <w:r>
        <w:instrText xml:space="preserve">TOC \o "1-2" \h \u </w:instrText>
      </w:r>
      <w:r>
        <w:fldChar w:fldCharType="separate"/>
      </w:r>
    </w:p>
    <w:p>
      <w:pPr>
        <w:pStyle w:val="30"/>
        <w:tabs>
          <w:tab w:val="right" w:leader="dot" w:pos="8306"/>
        </w:tabs>
        <w:rPr>
          <w:b/>
        </w:rPr>
      </w:pPr>
      <w:r>
        <w:rPr>
          <w:b/>
        </w:rPr>
        <w:fldChar w:fldCharType="begin"/>
      </w:r>
      <w:r>
        <w:rPr>
          <w:b/>
        </w:rPr>
        <w:instrText xml:space="preserve"> HYPERLINK \l _Toc13499 </w:instrText>
      </w:r>
      <w:r>
        <w:rPr>
          <w:b/>
        </w:rPr>
        <w:fldChar w:fldCharType="separate"/>
      </w:r>
      <w:r>
        <w:rPr>
          <w:rFonts w:hint="eastAsia" w:ascii="黑体" w:hAnsi="黑体" w:eastAsia="黑体"/>
          <w:b/>
        </w:rPr>
        <w:t>第一部分</w:t>
      </w:r>
      <w:r>
        <w:rPr>
          <w:rFonts w:ascii="黑体" w:hAnsi="黑体" w:eastAsia="黑体"/>
          <w:b/>
        </w:rPr>
        <w:t xml:space="preserve"> </w:t>
      </w:r>
      <w:r>
        <w:rPr>
          <w:rFonts w:hint="eastAsia" w:ascii="黑体" w:hAnsi="黑体" w:eastAsia="黑体"/>
          <w:b/>
          <w:lang w:eastAsia="zh-CN"/>
        </w:rPr>
        <w:t>单位</w:t>
      </w:r>
      <w:r>
        <w:rPr>
          <w:rFonts w:hint="eastAsia" w:ascii="黑体" w:hAnsi="黑体" w:eastAsia="黑体"/>
          <w:b/>
        </w:rPr>
        <w:t>概况</w:t>
      </w:r>
      <w:r>
        <w:rPr>
          <w:b/>
        </w:rPr>
        <w:tab/>
      </w:r>
      <w:r>
        <w:rPr>
          <w:b/>
        </w:rPr>
        <w:fldChar w:fldCharType="begin"/>
      </w:r>
      <w:r>
        <w:rPr>
          <w:b/>
        </w:rPr>
        <w:instrText xml:space="preserve"> PAGEREF _Toc13499 \h </w:instrText>
      </w:r>
      <w:r>
        <w:rPr>
          <w:b/>
        </w:rPr>
        <w:fldChar w:fldCharType="separate"/>
      </w:r>
      <w:r>
        <w:rPr>
          <w:b/>
        </w:rPr>
        <w:t>4</w:t>
      </w:r>
      <w:r>
        <w:rPr>
          <w:b/>
        </w:rPr>
        <w:fldChar w:fldCharType="end"/>
      </w:r>
      <w:r>
        <w:rPr>
          <w:b/>
        </w:rPr>
        <w:fldChar w:fldCharType="end"/>
      </w:r>
    </w:p>
    <w:p>
      <w:pPr>
        <w:pStyle w:val="31"/>
        <w:tabs>
          <w:tab w:val="right" w:leader="dot" w:pos="8306"/>
        </w:tabs>
      </w:pPr>
      <w:r>
        <w:fldChar w:fldCharType="begin"/>
      </w:r>
      <w:r>
        <w:instrText xml:space="preserve"> HYPERLINK \l _Toc6612 </w:instrText>
      </w:r>
      <w:r>
        <w:fldChar w:fldCharType="separate"/>
      </w:r>
      <w:r>
        <w:rPr>
          <w:rFonts w:hint="eastAsia" w:ascii="黑体" w:hAnsi="黑体" w:eastAsia="黑体"/>
        </w:rPr>
        <w:t>一、基本职能及主要工作</w:t>
      </w:r>
      <w:r>
        <w:tab/>
      </w:r>
      <w:r>
        <w:fldChar w:fldCharType="begin"/>
      </w:r>
      <w:r>
        <w:instrText xml:space="preserve"> PAGEREF _Toc6612 \h </w:instrText>
      </w:r>
      <w:r>
        <w:fldChar w:fldCharType="separate"/>
      </w:r>
      <w:r>
        <w:t>4</w:t>
      </w:r>
      <w:r>
        <w:fldChar w:fldCharType="end"/>
      </w:r>
      <w:r>
        <w:fldChar w:fldCharType="end"/>
      </w:r>
    </w:p>
    <w:p>
      <w:pPr>
        <w:pStyle w:val="31"/>
        <w:tabs>
          <w:tab w:val="right" w:leader="dot" w:pos="8306"/>
        </w:tabs>
      </w:pPr>
      <w:r>
        <w:fldChar w:fldCharType="begin"/>
      </w:r>
      <w:r>
        <w:instrText xml:space="preserve"> HYPERLINK \l _Toc29470 </w:instrText>
      </w:r>
      <w:r>
        <w:fldChar w:fldCharType="separate"/>
      </w:r>
      <w:r>
        <w:rPr>
          <w:rFonts w:hint="eastAsia" w:ascii="黑体" w:hAnsi="黑体" w:eastAsia="黑体" w:cs="黑体"/>
          <w:szCs w:val="32"/>
        </w:rPr>
        <w:t>二、机构设置</w:t>
      </w:r>
      <w:r>
        <w:tab/>
      </w:r>
      <w:r>
        <w:fldChar w:fldCharType="begin"/>
      </w:r>
      <w:r>
        <w:instrText xml:space="preserve"> PAGEREF _Toc29470 \h </w:instrText>
      </w:r>
      <w:r>
        <w:fldChar w:fldCharType="separate"/>
      </w:r>
      <w:r>
        <w:t>7</w:t>
      </w:r>
      <w:r>
        <w:fldChar w:fldCharType="end"/>
      </w:r>
      <w:r>
        <w:fldChar w:fldCharType="end"/>
      </w:r>
    </w:p>
    <w:p>
      <w:pPr>
        <w:pStyle w:val="30"/>
        <w:tabs>
          <w:tab w:val="right" w:leader="dot" w:pos="8306"/>
        </w:tabs>
        <w:rPr>
          <w:b/>
        </w:rPr>
      </w:pPr>
      <w:r>
        <w:rPr>
          <w:b/>
        </w:rPr>
        <w:fldChar w:fldCharType="begin"/>
      </w:r>
      <w:r>
        <w:rPr>
          <w:b/>
        </w:rPr>
        <w:instrText xml:space="preserve"> HYPERLINK \l _Toc25240 </w:instrText>
      </w:r>
      <w:r>
        <w:rPr>
          <w:b/>
        </w:rPr>
        <w:fldChar w:fldCharType="separate"/>
      </w:r>
      <w:r>
        <w:rPr>
          <w:rFonts w:hint="eastAsia"/>
          <w:b/>
        </w:rPr>
        <w:t xml:space="preserve">第二部分 </w:t>
      </w:r>
      <w:r>
        <w:rPr>
          <w:rFonts w:ascii="黑体" w:hAnsi="黑体" w:eastAsia="黑体"/>
          <w:b/>
        </w:rPr>
        <w:t>2020</w:t>
      </w:r>
      <w:r>
        <w:rPr>
          <w:rFonts w:hint="eastAsia" w:ascii="黑体" w:hAnsi="黑体" w:eastAsia="黑体"/>
          <w:b/>
        </w:rPr>
        <w:t>年度部门决算情况说明</w:t>
      </w:r>
      <w:r>
        <w:rPr>
          <w:b/>
        </w:rPr>
        <w:tab/>
      </w:r>
      <w:r>
        <w:rPr>
          <w:b/>
        </w:rPr>
        <w:fldChar w:fldCharType="begin"/>
      </w:r>
      <w:r>
        <w:rPr>
          <w:b/>
        </w:rPr>
        <w:instrText xml:space="preserve"> PAGEREF _Toc25240 \h </w:instrText>
      </w:r>
      <w:r>
        <w:rPr>
          <w:b/>
        </w:rPr>
        <w:fldChar w:fldCharType="separate"/>
      </w:r>
      <w:r>
        <w:rPr>
          <w:b/>
        </w:rPr>
        <w:t>8</w:t>
      </w:r>
      <w:r>
        <w:rPr>
          <w:b/>
        </w:rPr>
        <w:fldChar w:fldCharType="end"/>
      </w:r>
      <w:r>
        <w:rPr>
          <w:b/>
        </w:rPr>
        <w:fldChar w:fldCharType="end"/>
      </w:r>
    </w:p>
    <w:p>
      <w:pPr>
        <w:pStyle w:val="31"/>
        <w:tabs>
          <w:tab w:val="right" w:leader="dot" w:pos="8306"/>
        </w:tabs>
      </w:pPr>
      <w:r>
        <w:fldChar w:fldCharType="begin"/>
      </w:r>
      <w:r>
        <w:instrText xml:space="preserve"> HYPERLINK \l _Toc19572 </w:instrText>
      </w:r>
      <w:r>
        <w:fldChar w:fldCharType="separate"/>
      </w:r>
      <w:r>
        <w:rPr>
          <w:rFonts w:hint="eastAsia" w:ascii="黑体" w:hAnsi="黑体" w:eastAsia="黑体"/>
          <w:szCs w:val="32"/>
        </w:rPr>
        <w:t>一、收</w:t>
      </w:r>
      <w:r>
        <w:rPr>
          <w:rFonts w:hint="eastAsia" w:ascii="黑体" w:hAnsi="黑体" w:eastAsia="黑体"/>
        </w:rPr>
        <w:t>入支出决算总体情况说明</w:t>
      </w:r>
      <w:r>
        <w:tab/>
      </w:r>
      <w:r>
        <w:fldChar w:fldCharType="begin"/>
      </w:r>
      <w:r>
        <w:instrText xml:space="preserve"> PAGEREF _Toc19572 \h </w:instrText>
      </w:r>
      <w:r>
        <w:fldChar w:fldCharType="separate"/>
      </w:r>
      <w:r>
        <w:t>8</w:t>
      </w:r>
      <w:r>
        <w:fldChar w:fldCharType="end"/>
      </w:r>
      <w:r>
        <w:fldChar w:fldCharType="end"/>
      </w:r>
    </w:p>
    <w:p>
      <w:pPr>
        <w:pStyle w:val="31"/>
        <w:tabs>
          <w:tab w:val="right" w:leader="dot" w:pos="8306"/>
        </w:tabs>
      </w:pPr>
      <w:r>
        <w:fldChar w:fldCharType="begin"/>
      </w:r>
      <w:r>
        <w:instrText xml:space="preserve"> HYPERLINK \l _Toc27638 </w:instrText>
      </w:r>
      <w:r>
        <w:fldChar w:fldCharType="separate"/>
      </w:r>
      <w:r>
        <w:rPr>
          <w:rFonts w:hint="eastAsia" w:ascii="黑体" w:hAnsi="黑体" w:eastAsia="黑体"/>
          <w:szCs w:val="32"/>
        </w:rPr>
        <w:t>二、收</w:t>
      </w:r>
      <w:r>
        <w:rPr>
          <w:rFonts w:hint="eastAsia" w:ascii="黑体" w:hAnsi="黑体" w:eastAsia="黑体"/>
        </w:rPr>
        <w:t>入决算情况说明</w:t>
      </w:r>
      <w:r>
        <w:tab/>
      </w:r>
      <w:r>
        <w:fldChar w:fldCharType="begin"/>
      </w:r>
      <w:r>
        <w:instrText xml:space="preserve"> PAGEREF _Toc27638 \h </w:instrText>
      </w:r>
      <w:r>
        <w:fldChar w:fldCharType="separate"/>
      </w:r>
      <w:r>
        <w:t>8</w:t>
      </w:r>
      <w:r>
        <w:fldChar w:fldCharType="end"/>
      </w:r>
      <w:r>
        <w:fldChar w:fldCharType="end"/>
      </w:r>
    </w:p>
    <w:p>
      <w:pPr>
        <w:pStyle w:val="31"/>
        <w:tabs>
          <w:tab w:val="right" w:leader="dot" w:pos="8306"/>
        </w:tabs>
      </w:pPr>
      <w:r>
        <w:fldChar w:fldCharType="begin"/>
      </w:r>
      <w:r>
        <w:instrText xml:space="preserve"> HYPERLINK \l _Toc27595 </w:instrText>
      </w:r>
      <w:r>
        <w:fldChar w:fldCharType="separate"/>
      </w:r>
      <w:r>
        <w:rPr>
          <w:rFonts w:hint="eastAsia" w:ascii="黑体" w:hAnsi="黑体" w:eastAsia="黑体"/>
          <w:szCs w:val="32"/>
        </w:rPr>
        <w:t>三、支</w:t>
      </w:r>
      <w:r>
        <w:rPr>
          <w:rFonts w:hint="eastAsia" w:ascii="黑体" w:hAnsi="黑体" w:eastAsia="黑体"/>
        </w:rPr>
        <w:t>出决算情况说明</w:t>
      </w:r>
      <w:r>
        <w:tab/>
      </w:r>
      <w:r>
        <w:fldChar w:fldCharType="begin"/>
      </w:r>
      <w:r>
        <w:instrText xml:space="preserve"> PAGEREF _Toc27595 \h </w:instrText>
      </w:r>
      <w:r>
        <w:fldChar w:fldCharType="separate"/>
      </w:r>
      <w:r>
        <w:t>9</w:t>
      </w:r>
      <w:r>
        <w:fldChar w:fldCharType="end"/>
      </w:r>
      <w:r>
        <w:fldChar w:fldCharType="end"/>
      </w:r>
    </w:p>
    <w:p>
      <w:pPr>
        <w:pStyle w:val="31"/>
        <w:tabs>
          <w:tab w:val="right" w:leader="dot" w:pos="8306"/>
        </w:tabs>
      </w:pPr>
      <w:r>
        <w:fldChar w:fldCharType="begin"/>
      </w:r>
      <w:r>
        <w:instrText xml:space="preserve"> HYPERLINK \l _Toc29817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_Toc29817 \h </w:instrText>
      </w:r>
      <w:r>
        <w:fldChar w:fldCharType="separate"/>
      </w:r>
      <w:r>
        <w:t>10</w:t>
      </w:r>
      <w:r>
        <w:fldChar w:fldCharType="end"/>
      </w:r>
      <w:r>
        <w:fldChar w:fldCharType="end"/>
      </w:r>
    </w:p>
    <w:p>
      <w:pPr>
        <w:pStyle w:val="31"/>
        <w:tabs>
          <w:tab w:val="right" w:leader="dot" w:pos="8306"/>
        </w:tabs>
      </w:pPr>
      <w:r>
        <w:fldChar w:fldCharType="begin"/>
      </w:r>
      <w:r>
        <w:instrText xml:space="preserve"> HYPERLINK \l _Toc30497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_Toc30497 \h </w:instrText>
      </w:r>
      <w:r>
        <w:fldChar w:fldCharType="separate"/>
      </w:r>
      <w:r>
        <w:t>10</w:t>
      </w:r>
      <w:r>
        <w:fldChar w:fldCharType="end"/>
      </w:r>
      <w:r>
        <w:fldChar w:fldCharType="end"/>
      </w:r>
    </w:p>
    <w:p>
      <w:pPr>
        <w:pStyle w:val="31"/>
        <w:tabs>
          <w:tab w:val="right" w:leader="dot" w:pos="8306"/>
        </w:tabs>
      </w:pPr>
      <w:r>
        <w:fldChar w:fldCharType="begin"/>
      </w:r>
      <w:r>
        <w:instrText xml:space="preserve"> HYPERLINK \l _Toc13531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_Toc13531 \h </w:instrText>
      </w:r>
      <w:r>
        <w:fldChar w:fldCharType="separate"/>
      </w:r>
      <w:r>
        <w:t>13</w:t>
      </w:r>
      <w:r>
        <w:fldChar w:fldCharType="end"/>
      </w:r>
      <w:r>
        <w:fldChar w:fldCharType="end"/>
      </w:r>
    </w:p>
    <w:p>
      <w:pPr>
        <w:pStyle w:val="31"/>
        <w:tabs>
          <w:tab w:val="right" w:leader="dot" w:pos="8306"/>
        </w:tabs>
      </w:pPr>
      <w:r>
        <w:fldChar w:fldCharType="begin"/>
      </w:r>
      <w:r>
        <w:instrText xml:space="preserve"> HYPERLINK \l _Toc12616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_Toc12616 \h </w:instrText>
      </w:r>
      <w:r>
        <w:fldChar w:fldCharType="separate"/>
      </w:r>
      <w:r>
        <w:t>13</w:t>
      </w:r>
      <w:r>
        <w:fldChar w:fldCharType="end"/>
      </w:r>
      <w:r>
        <w:fldChar w:fldCharType="end"/>
      </w:r>
    </w:p>
    <w:p>
      <w:pPr>
        <w:pStyle w:val="31"/>
        <w:tabs>
          <w:tab w:val="right" w:leader="dot" w:pos="8306"/>
        </w:tabs>
      </w:pPr>
      <w:r>
        <w:fldChar w:fldCharType="begin"/>
      </w:r>
      <w:r>
        <w:instrText xml:space="preserve"> HYPERLINK \l _Toc18211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_Toc18211 \h </w:instrText>
      </w:r>
      <w:r>
        <w:fldChar w:fldCharType="separate"/>
      </w:r>
      <w:r>
        <w:t>14</w:t>
      </w:r>
      <w:r>
        <w:fldChar w:fldCharType="end"/>
      </w:r>
      <w:r>
        <w:fldChar w:fldCharType="end"/>
      </w:r>
    </w:p>
    <w:p>
      <w:pPr>
        <w:pStyle w:val="31"/>
        <w:tabs>
          <w:tab w:val="right" w:leader="dot" w:pos="8306"/>
        </w:tabs>
      </w:pPr>
      <w:r>
        <w:fldChar w:fldCharType="begin"/>
      </w:r>
      <w:r>
        <w:instrText xml:space="preserve"> HYPERLINK \l _Toc8287 </w:instrText>
      </w:r>
      <w:r>
        <w:fldChar w:fldCharType="separate"/>
      </w: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_Toc8287 \h </w:instrText>
      </w:r>
      <w:r>
        <w:fldChar w:fldCharType="separate"/>
      </w:r>
      <w:r>
        <w:t>14</w:t>
      </w:r>
      <w:r>
        <w:fldChar w:fldCharType="end"/>
      </w:r>
      <w:r>
        <w:fldChar w:fldCharType="end"/>
      </w:r>
    </w:p>
    <w:p>
      <w:pPr>
        <w:pStyle w:val="31"/>
        <w:tabs>
          <w:tab w:val="right" w:leader="dot" w:pos="8306"/>
        </w:tabs>
      </w:pPr>
      <w:r>
        <w:fldChar w:fldCharType="begin"/>
      </w:r>
      <w:r>
        <w:instrText xml:space="preserve"> HYPERLINK \l _Toc20406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_Toc20406 \h </w:instrText>
      </w:r>
      <w:r>
        <w:fldChar w:fldCharType="separate"/>
      </w:r>
      <w:r>
        <w:t>14</w:t>
      </w:r>
      <w:r>
        <w:fldChar w:fldCharType="end"/>
      </w:r>
      <w:r>
        <w:fldChar w:fldCharType="end"/>
      </w:r>
    </w:p>
    <w:p>
      <w:pPr>
        <w:pStyle w:val="30"/>
        <w:tabs>
          <w:tab w:val="right" w:leader="dot" w:pos="8306"/>
        </w:tabs>
        <w:rPr>
          <w:b/>
        </w:rPr>
      </w:pPr>
      <w:r>
        <w:rPr>
          <w:b/>
        </w:rPr>
        <w:fldChar w:fldCharType="begin"/>
      </w:r>
      <w:r>
        <w:rPr>
          <w:b/>
        </w:rPr>
        <w:instrText xml:space="preserve"> HYPERLINK \l _Toc11837 </w:instrText>
      </w:r>
      <w:r>
        <w:rPr>
          <w:b/>
        </w:rPr>
        <w:fldChar w:fldCharType="separate"/>
      </w:r>
      <w:r>
        <w:rPr>
          <w:rFonts w:hint="eastAsia" w:ascii="黑体" w:hAnsi="黑体" w:eastAsia="黑体" w:cs="Times New Roman"/>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_Toc11837 \h </w:instrText>
      </w:r>
      <w:r>
        <w:rPr>
          <w:b/>
        </w:rPr>
        <w:fldChar w:fldCharType="separate"/>
      </w:r>
      <w:r>
        <w:rPr>
          <w:b/>
        </w:rPr>
        <w:t>18</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_Toc13298 </w:instrText>
      </w:r>
      <w:r>
        <w:rPr>
          <w:b/>
        </w:rPr>
        <w:fldChar w:fldCharType="separate"/>
      </w:r>
      <w:r>
        <w:rPr>
          <w:rFonts w:hint="eastAsia" w:ascii="黑体" w:hAnsi="黑体" w:eastAsia="黑体"/>
          <w:b/>
          <w:szCs w:val="44"/>
        </w:rPr>
        <w:t>第</w:t>
      </w:r>
      <w:r>
        <w:rPr>
          <w:rFonts w:hint="eastAsia" w:ascii="黑体" w:hAnsi="黑体" w:eastAsia="黑体"/>
          <w:b/>
        </w:rPr>
        <w:t>四部分</w:t>
      </w:r>
      <w:r>
        <w:rPr>
          <w:rFonts w:ascii="黑体" w:hAnsi="黑体" w:eastAsia="黑体"/>
          <w:b/>
        </w:rPr>
        <w:t xml:space="preserve"> </w:t>
      </w:r>
      <w:r>
        <w:rPr>
          <w:rFonts w:hint="eastAsia" w:ascii="黑体" w:hAnsi="黑体" w:eastAsia="黑体"/>
          <w:b/>
        </w:rPr>
        <w:t>附件</w:t>
      </w:r>
      <w:r>
        <w:rPr>
          <w:b/>
        </w:rPr>
        <w:tab/>
      </w:r>
      <w:r>
        <w:rPr>
          <w:b/>
        </w:rPr>
        <w:fldChar w:fldCharType="begin"/>
      </w:r>
      <w:r>
        <w:rPr>
          <w:b/>
        </w:rPr>
        <w:instrText xml:space="preserve"> PAGEREF _Toc13298 \h </w:instrText>
      </w:r>
      <w:r>
        <w:rPr>
          <w:b/>
        </w:rPr>
        <w:fldChar w:fldCharType="separate"/>
      </w:r>
      <w:r>
        <w:rPr>
          <w:b/>
        </w:rPr>
        <w:t>21</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_Toc18984 </w:instrText>
      </w:r>
      <w:r>
        <w:rPr>
          <w:b/>
        </w:rPr>
        <w:fldChar w:fldCharType="separate"/>
      </w:r>
      <w:r>
        <w:rPr>
          <w:rFonts w:hint="eastAsia" w:ascii="黑体" w:hAnsi="黑体" w:eastAsia="黑体" w:cs="黑体"/>
          <w:b/>
          <w:szCs w:val="32"/>
        </w:rPr>
        <w:t>附件</w:t>
      </w:r>
      <w:r>
        <w:rPr>
          <w:rFonts w:ascii="黑体" w:hAnsi="黑体" w:eastAsia="黑体" w:cs="黑体"/>
          <w:b/>
          <w:szCs w:val="32"/>
        </w:rPr>
        <w:t>1</w:t>
      </w:r>
      <w:r>
        <w:rPr>
          <w:b/>
        </w:rPr>
        <w:tab/>
      </w:r>
      <w:r>
        <w:rPr>
          <w:b/>
        </w:rPr>
        <w:fldChar w:fldCharType="begin"/>
      </w:r>
      <w:r>
        <w:rPr>
          <w:b/>
        </w:rPr>
        <w:instrText xml:space="preserve"> PAGEREF _Toc18984 \h </w:instrText>
      </w:r>
      <w:r>
        <w:rPr>
          <w:b/>
        </w:rPr>
        <w:fldChar w:fldCharType="separate"/>
      </w:r>
      <w:r>
        <w:rPr>
          <w:b/>
        </w:rPr>
        <w:t>21</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_Toc18984 </w:instrText>
      </w:r>
      <w:r>
        <w:rPr>
          <w:b/>
        </w:rPr>
        <w:fldChar w:fldCharType="separate"/>
      </w:r>
      <w:r>
        <w:rPr>
          <w:rFonts w:hint="eastAsia" w:ascii="黑体" w:hAnsi="黑体" w:eastAsia="黑体" w:cs="黑体"/>
          <w:b/>
          <w:szCs w:val="32"/>
        </w:rPr>
        <w:t>附件</w:t>
      </w:r>
      <w:r>
        <w:rPr>
          <w:rFonts w:hint="eastAsia" w:ascii="黑体" w:hAnsi="黑体" w:eastAsia="黑体" w:cs="黑体"/>
          <w:b/>
          <w:szCs w:val="32"/>
          <w:lang w:val="en-US" w:eastAsia="zh-CN"/>
        </w:rPr>
        <w:t>2</w:t>
      </w:r>
      <w:r>
        <w:rPr>
          <w:b/>
        </w:rPr>
        <w:tab/>
      </w:r>
      <w:r>
        <w:rPr>
          <w:b/>
        </w:rPr>
        <w:fldChar w:fldCharType="begin"/>
      </w:r>
      <w:r>
        <w:rPr>
          <w:b/>
        </w:rPr>
        <w:instrText xml:space="preserve"> PAGEREF _Toc18984 \h </w:instrText>
      </w:r>
      <w:r>
        <w:rPr>
          <w:b/>
        </w:rPr>
        <w:fldChar w:fldCharType="separate"/>
      </w:r>
      <w:r>
        <w:rPr>
          <w:b/>
        </w:rPr>
        <w:t>2</w:t>
      </w:r>
      <w:r>
        <w:rPr>
          <w:rFonts w:hint="eastAsia"/>
          <w:b/>
          <w:lang w:val="en-US" w:eastAsia="zh-CN"/>
        </w:rPr>
        <w:t>3</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_Toc12278 </w:instrText>
      </w:r>
      <w:r>
        <w:rPr>
          <w:b/>
        </w:rPr>
        <w:fldChar w:fldCharType="separate"/>
      </w:r>
      <w:r>
        <w:rPr>
          <w:rFonts w:hint="eastAsia" w:ascii="黑体" w:hAnsi="黑体" w:eastAsia="黑体"/>
          <w:b/>
          <w:szCs w:val="44"/>
        </w:rPr>
        <w:t>第</w:t>
      </w:r>
      <w:r>
        <w:rPr>
          <w:rFonts w:hint="eastAsia" w:ascii="黑体" w:hAnsi="黑体" w:eastAsia="黑体"/>
          <w:b/>
        </w:rPr>
        <w:t>五部分</w:t>
      </w:r>
      <w:r>
        <w:rPr>
          <w:rFonts w:ascii="黑体" w:hAnsi="黑体" w:eastAsia="黑体"/>
          <w:b/>
        </w:rPr>
        <w:t xml:space="preserve"> </w:t>
      </w:r>
      <w:r>
        <w:rPr>
          <w:rFonts w:hint="eastAsia" w:ascii="黑体" w:hAnsi="黑体" w:eastAsia="黑体"/>
          <w:b/>
        </w:rPr>
        <w:t>附表</w:t>
      </w:r>
      <w:r>
        <w:rPr>
          <w:b/>
        </w:rPr>
        <w:tab/>
      </w:r>
      <w:r>
        <w:rPr>
          <w:b/>
        </w:rPr>
        <w:fldChar w:fldCharType="begin"/>
      </w:r>
      <w:r>
        <w:rPr>
          <w:b/>
        </w:rPr>
        <w:instrText xml:space="preserve"> PAGEREF _Toc12278 \h </w:instrText>
      </w:r>
      <w:r>
        <w:rPr>
          <w:b/>
        </w:rPr>
        <w:fldChar w:fldCharType="separate"/>
      </w:r>
      <w:r>
        <w:rPr>
          <w:b/>
        </w:rPr>
        <w:t>28</w:t>
      </w:r>
      <w:r>
        <w:rPr>
          <w:b/>
        </w:rPr>
        <w:fldChar w:fldCharType="end"/>
      </w:r>
      <w:r>
        <w:rPr>
          <w:b/>
        </w:rPr>
        <w:fldChar w:fldCharType="end"/>
      </w:r>
    </w:p>
    <w:p>
      <w:pPr>
        <w:pStyle w:val="31"/>
        <w:tabs>
          <w:tab w:val="right" w:leader="dot" w:pos="8306"/>
        </w:tabs>
      </w:pPr>
      <w:r>
        <w:fldChar w:fldCharType="begin"/>
      </w:r>
      <w:r>
        <w:instrText xml:space="preserve"> HYPERLINK \l _Toc27114 </w:instrText>
      </w:r>
      <w:r>
        <w:fldChar w:fldCharType="separate"/>
      </w:r>
      <w:r>
        <w:rPr>
          <w:rFonts w:hint="eastAsia" w:ascii="仿宋" w:hAnsi="仿宋" w:eastAsia="仿宋"/>
        </w:rPr>
        <w:t>一、收入支出决算总表</w:t>
      </w:r>
      <w:r>
        <w:tab/>
      </w:r>
      <w:r>
        <w:fldChar w:fldCharType="begin"/>
      </w:r>
      <w:r>
        <w:instrText xml:space="preserve"> PAGEREF _Toc27114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_Toc3051 </w:instrText>
      </w:r>
      <w:r>
        <w:fldChar w:fldCharType="separate"/>
      </w:r>
      <w:r>
        <w:rPr>
          <w:rFonts w:hint="eastAsia" w:ascii="仿宋" w:hAnsi="仿宋" w:eastAsia="仿宋"/>
        </w:rPr>
        <w:t>二、收入决算表</w:t>
      </w:r>
      <w:r>
        <w:tab/>
      </w:r>
      <w:r>
        <w:fldChar w:fldCharType="begin"/>
      </w:r>
      <w:r>
        <w:instrText xml:space="preserve"> PAGEREF _Toc3051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_Toc16513 </w:instrText>
      </w:r>
      <w:r>
        <w:fldChar w:fldCharType="separate"/>
      </w:r>
      <w:r>
        <w:rPr>
          <w:rFonts w:hint="eastAsia" w:ascii="仿宋" w:hAnsi="仿宋" w:eastAsia="仿宋"/>
        </w:rPr>
        <w:t>三、支出决算表</w:t>
      </w:r>
      <w:r>
        <w:tab/>
      </w:r>
      <w:r>
        <w:fldChar w:fldCharType="begin"/>
      </w:r>
      <w:r>
        <w:instrText xml:space="preserve"> PAGEREF _Toc16513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_Toc29794 </w:instrText>
      </w:r>
      <w:r>
        <w:fldChar w:fldCharType="separate"/>
      </w:r>
      <w:r>
        <w:rPr>
          <w:rFonts w:hint="eastAsia" w:ascii="仿宋" w:hAnsi="仿宋" w:eastAsia="仿宋"/>
        </w:rPr>
        <w:t>四、财政拨款收入支出决算总表</w:t>
      </w:r>
      <w:r>
        <w:tab/>
      </w:r>
      <w:r>
        <w:fldChar w:fldCharType="begin"/>
      </w:r>
      <w:r>
        <w:instrText xml:space="preserve"> PAGEREF _Toc29794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_Toc16260 </w:instrText>
      </w:r>
      <w:r>
        <w:fldChar w:fldCharType="separate"/>
      </w:r>
      <w:r>
        <w:rPr>
          <w:rFonts w:hint="eastAsia" w:ascii="仿宋" w:hAnsi="仿宋" w:eastAsia="仿宋"/>
        </w:rPr>
        <w:t>五、财政拨款支出决算明细表</w:t>
      </w:r>
      <w:r>
        <w:tab/>
      </w:r>
      <w:r>
        <w:fldChar w:fldCharType="begin"/>
      </w:r>
      <w:r>
        <w:instrText xml:space="preserve"> PAGEREF _Toc16260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_Toc22204 </w:instrText>
      </w:r>
      <w:r>
        <w:fldChar w:fldCharType="separate"/>
      </w:r>
      <w:r>
        <w:rPr>
          <w:rFonts w:hint="eastAsia" w:ascii="仿宋" w:hAnsi="仿宋" w:eastAsia="仿宋"/>
        </w:rPr>
        <w:t>六、一般公共预算财政拨款支出决算表</w:t>
      </w:r>
      <w:r>
        <w:tab/>
      </w:r>
      <w:r>
        <w:fldChar w:fldCharType="begin"/>
      </w:r>
      <w:r>
        <w:instrText xml:space="preserve"> PAGEREF _Toc22204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_Toc24686 </w:instrText>
      </w:r>
      <w:r>
        <w:fldChar w:fldCharType="separate"/>
      </w:r>
      <w:r>
        <w:rPr>
          <w:rFonts w:hint="eastAsia" w:ascii="仿宋" w:hAnsi="仿宋" w:eastAsia="仿宋"/>
        </w:rPr>
        <w:t>七、一般公共预算财政拨款支出决算明细表</w:t>
      </w:r>
      <w:r>
        <w:tab/>
      </w:r>
      <w:r>
        <w:fldChar w:fldCharType="begin"/>
      </w:r>
      <w:r>
        <w:instrText xml:space="preserve"> PAGEREF _Toc24686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_Toc27064 </w:instrText>
      </w:r>
      <w:r>
        <w:fldChar w:fldCharType="separate"/>
      </w:r>
      <w:r>
        <w:rPr>
          <w:rFonts w:hint="eastAsia" w:ascii="仿宋" w:hAnsi="仿宋" w:eastAsia="仿宋"/>
        </w:rPr>
        <w:t>八、一般公共预算财政拨款基本支出决算表</w:t>
      </w:r>
      <w:r>
        <w:tab/>
      </w:r>
      <w:r>
        <w:fldChar w:fldCharType="begin"/>
      </w:r>
      <w:r>
        <w:instrText xml:space="preserve"> PAGEREF _Toc27064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_Toc23912 </w:instrText>
      </w:r>
      <w:r>
        <w:fldChar w:fldCharType="separate"/>
      </w:r>
      <w:r>
        <w:rPr>
          <w:rFonts w:hint="eastAsia" w:ascii="仿宋" w:hAnsi="仿宋" w:eastAsia="仿宋"/>
        </w:rPr>
        <w:t>九、一般公共预算财政拨款项目支出决算表</w:t>
      </w:r>
      <w:r>
        <w:tab/>
      </w:r>
      <w:r>
        <w:fldChar w:fldCharType="begin"/>
      </w:r>
      <w:r>
        <w:instrText xml:space="preserve"> PAGEREF _Toc23912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_Toc2976 </w:instrText>
      </w:r>
      <w:r>
        <w:fldChar w:fldCharType="separate"/>
      </w:r>
      <w:r>
        <w:rPr>
          <w:rFonts w:hint="eastAsia" w:ascii="仿宋" w:hAnsi="仿宋" w:eastAsia="仿宋"/>
        </w:rPr>
        <w:t>十、一般公共预算财政拨款“三公”经费支出决算表</w:t>
      </w:r>
      <w:r>
        <w:tab/>
      </w:r>
      <w:r>
        <w:fldChar w:fldCharType="begin"/>
      </w:r>
      <w:r>
        <w:instrText xml:space="preserve"> PAGEREF _Toc2976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_Toc32080 </w:instrText>
      </w:r>
      <w:r>
        <w:fldChar w:fldCharType="separate"/>
      </w:r>
      <w:r>
        <w:rPr>
          <w:rFonts w:hint="eastAsia" w:ascii="仿宋" w:hAnsi="仿宋" w:eastAsia="仿宋"/>
        </w:rPr>
        <w:t>十一、政府性基金预算财政拨款收入支出决算表</w:t>
      </w:r>
      <w:r>
        <w:tab/>
      </w:r>
      <w:r>
        <w:fldChar w:fldCharType="begin"/>
      </w:r>
      <w:r>
        <w:instrText xml:space="preserve"> PAGEREF _Toc32080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_Toc10922 </w:instrText>
      </w:r>
      <w:r>
        <w:fldChar w:fldCharType="separate"/>
      </w:r>
      <w:r>
        <w:rPr>
          <w:rFonts w:hint="eastAsia" w:ascii="仿宋" w:hAnsi="仿宋" w:eastAsia="仿宋"/>
        </w:rPr>
        <w:t>十二、政府性基金预算财政拨款“三公”经费支出决算表</w:t>
      </w:r>
      <w:r>
        <w:tab/>
      </w:r>
      <w:r>
        <w:fldChar w:fldCharType="begin"/>
      </w:r>
      <w:r>
        <w:instrText xml:space="preserve"> PAGEREF _Toc10922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_Toc29965 </w:instrText>
      </w:r>
      <w:r>
        <w:fldChar w:fldCharType="separate"/>
      </w:r>
      <w:r>
        <w:rPr>
          <w:rFonts w:hint="eastAsia" w:ascii="仿宋" w:hAnsi="仿宋" w:eastAsia="仿宋"/>
        </w:rPr>
        <w:t>十三、国有资本经营预算财政拨款支出决算表</w:t>
      </w:r>
      <w:r>
        <w:tab/>
      </w:r>
      <w:r>
        <w:fldChar w:fldCharType="begin"/>
      </w:r>
      <w:r>
        <w:instrText xml:space="preserve"> PAGEREF _Toc29965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_Toc20867 </w:instrText>
      </w:r>
      <w:r>
        <w:fldChar w:fldCharType="separate"/>
      </w:r>
      <w:r>
        <w:rPr>
          <w:rFonts w:hint="eastAsia" w:ascii="仿宋" w:hAnsi="仿宋" w:eastAsia="仿宋"/>
          <w:bCs w:val="0"/>
          <w:lang w:eastAsia="zh-CN"/>
        </w:rPr>
        <w:t>十四、</w:t>
      </w:r>
      <w:r>
        <w:rPr>
          <w:rFonts w:hint="eastAsia" w:ascii="仿宋" w:hAnsi="仿宋" w:eastAsia="仿宋"/>
        </w:rPr>
        <w:t>国</w:t>
      </w:r>
      <w:r>
        <w:rPr>
          <w:rFonts w:hint="eastAsia" w:ascii="仿宋" w:hAnsi="仿宋" w:eastAsia="仿宋"/>
          <w:bCs w:val="0"/>
        </w:rPr>
        <w:t>有资本经营预算财政拨款支出决算表</w:t>
      </w:r>
      <w:r>
        <w:tab/>
      </w:r>
      <w:r>
        <w:fldChar w:fldCharType="begin"/>
      </w:r>
      <w:r>
        <w:instrText xml:space="preserve"> PAGEREF _Toc20867 \h </w:instrText>
      </w:r>
      <w:r>
        <w:fldChar w:fldCharType="separate"/>
      </w:r>
      <w:r>
        <w:t>28</w:t>
      </w:r>
      <w:r>
        <w:fldChar w:fldCharType="end"/>
      </w:r>
      <w:r>
        <w:fldChar w:fldCharType="end"/>
      </w:r>
    </w:p>
    <w:p>
      <w:r>
        <w:rPr>
          <w:b/>
        </w:rPr>
        <w:fldChar w:fldCharType="end"/>
      </w:r>
    </w:p>
    <w:p>
      <w:pPr>
        <w:widowControl/>
        <w:spacing w:line="440" w:lineRule="exact"/>
        <w:jc w:val="left"/>
        <w:rPr>
          <w:rFonts w:ascii="仿宋" w:hAnsi="仿宋" w:eastAsia="仿宋"/>
          <w:bCs/>
          <w:kern w:val="44"/>
          <w:sz w:val="24"/>
        </w:rPr>
      </w:pPr>
      <w:r>
        <w:rPr>
          <w:rFonts w:hint="eastAsia" w:ascii="仿宋_GB2312" w:hAnsi="仿宋_GB2312" w:eastAsia="仿宋_GB2312" w:cs="仿宋_GB2312"/>
          <w:b/>
          <w:sz w:val="24"/>
        </w:rPr>
        <w:br w:type="page"/>
      </w:r>
    </w:p>
    <w:p>
      <w:pPr>
        <w:pStyle w:val="3"/>
        <w:jc w:val="center"/>
        <w:rPr>
          <w:rFonts w:ascii="黑体" w:eastAsia="黑体"/>
          <w:color w:val="000000"/>
          <w:sz w:val="32"/>
          <w:szCs w:val="32"/>
        </w:rPr>
      </w:pPr>
      <w:bookmarkStart w:id="20" w:name="_Toc15852"/>
      <w:bookmarkStart w:id="21" w:name="_Toc13499"/>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lang w:eastAsia="zh-CN"/>
        </w:rPr>
        <w:t>单位</w:t>
      </w:r>
      <w:r>
        <w:rPr>
          <w:rStyle w:val="17"/>
          <w:rFonts w:hint="eastAsia" w:ascii="黑体" w:hAnsi="黑体" w:eastAsia="黑体"/>
          <w:b w:val="0"/>
          <w:bCs w:val="0"/>
        </w:rPr>
        <w:t>概况</w:t>
      </w:r>
      <w:bookmarkEnd w:id="18"/>
      <w:bookmarkEnd w:id="19"/>
      <w:bookmarkEnd w:id="20"/>
      <w:bookmarkEnd w:id="21"/>
    </w:p>
    <w:p>
      <w:pPr>
        <w:pStyle w:val="4"/>
        <w:rPr>
          <w:rStyle w:val="18"/>
          <w:rFonts w:hint="eastAsia" w:ascii="黑体" w:hAnsi="黑体" w:eastAsia="黑体"/>
          <w:b w:val="0"/>
          <w:bCs w:val="0"/>
        </w:rPr>
      </w:pPr>
      <w:bookmarkStart w:id="22" w:name="_Toc778"/>
      <w:bookmarkStart w:id="23" w:name="_Toc6612"/>
      <w:bookmarkStart w:id="24" w:name="_Toc15396600"/>
      <w:bookmarkStart w:id="25" w:name="_Toc15377197"/>
      <w:r>
        <w:rPr>
          <w:rFonts w:hint="eastAsia" w:ascii="黑体" w:hAnsi="黑体" w:eastAsia="黑体"/>
          <w:b w:val="0"/>
          <w:color w:val="000000"/>
        </w:rPr>
        <w:t>一、基</w:t>
      </w:r>
      <w:r>
        <w:rPr>
          <w:rStyle w:val="18"/>
          <w:rFonts w:hint="eastAsia" w:ascii="黑体" w:hAnsi="黑体" w:eastAsia="黑体"/>
          <w:b w:val="0"/>
          <w:bCs w:val="0"/>
        </w:rPr>
        <w:t>本职能及主要工作</w:t>
      </w:r>
      <w:bookmarkEnd w:id="22"/>
      <w:bookmarkEnd w:id="23"/>
      <w:bookmarkEnd w:id="24"/>
      <w:bookmarkEnd w:id="25"/>
      <w:bookmarkStart w:id="26" w:name="_Toc15378445"/>
      <w:bookmarkStart w:id="27" w:name="_Toc15377198"/>
    </w:p>
    <w:p>
      <w:pPr>
        <w:pStyle w:val="4"/>
        <w:rPr>
          <w:rFonts w:hint="eastAsia" w:ascii="仿宋" w:hAnsi="仿宋" w:eastAsia="仿宋"/>
          <w:b w:val="0"/>
          <w:bCs w:val="0"/>
          <w:sz w:val="32"/>
          <w:szCs w:val="32"/>
        </w:rPr>
      </w:pPr>
      <w:bookmarkStart w:id="28" w:name="_Toc26684"/>
      <w:bookmarkStart w:id="29" w:name="_Toc21966"/>
      <w:r>
        <w:rPr>
          <w:rFonts w:hint="eastAsia" w:ascii="仿宋" w:hAnsi="仿宋" w:eastAsia="仿宋"/>
          <w:b w:val="0"/>
          <w:bCs w:val="0"/>
          <w:sz w:val="32"/>
          <w:szCs w:val="32"/>
        </w:rPr>
        <w:t>（一）主要职能。</w:t>
      </w:r>
      <w:bookmarkEnd w:id="26"/>
      <w:bookmarkEnd w:id="27"/>
      <w:bookmarkEnd w:id="28"/>
      <w:bookmarkEnd w:id="29"/>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1.贯彻执行国家、省、市有关住房保障和房地产市场相关法律、法规及政策、制度。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2.承担编制保障性住房发展规划、房地产中长期规划、</w:t>
      </w:r>
      <w:r>
        <w:rPr>
          <w:rFonts w:hint="eastAsia" w:ascii="仿宋_GB2312" w:hAnsi="仿宋_GB2312" w:eastAsia="仿宋_GB2312" w:cs="仿宋_GB2312"/>
          <w:sz w:val="32"/>
          <w:szCs w:val="32"/>
          <w:lang w:eastAsia="zh-CN"/>
        </w:rPr>
        <w:t>棚</w:t>
      </w:r>
      <w:r>
        <w:rPr>
          <w:rFonts w:hint="eastAsia" w:ascii="仿宋_GB2312" w:hAnsi="仿宋_GB2312" w:eastAsia="仿宋_GB2312" w:cs="仿宋_GB2312"/>
          <w:sz w:val="32"/>
          <w:szCs w:val="32"/>
        </w:rPr>
        <w:t>户区改造计划相关工作。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房地产企业、房地产中介机构及从业人员的信用信息、企业及人员库、统计数据的建立及管理，承担房地产企业、房地产中介机构行业规范事务工作。负责预售商品房、存量商品房的合同网签备案，承担房地产交易档案、数据及信息化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4.负责物业服务企业及从业人员的信用信息、住宅专项</w:t>
      </w:r>
      <w:r>
        <w:rPr>
          <w:rFonts w:hint="eastAsia" w:ascii="仿宋_GB2312" w:hAnsi="仿宋_GB2312" w:eastAsia="仿宋_GB2312" w:cs="仿宋_GB2312"/>
          <w:sz w:val="32"/>
          <w:szCs w:val="32"/>
          <w:lang w:eastAsia="zh-CN"/>
        </w:rPr>
        <w:t>维</w:t>
      </w:r>
      <w:r>
        <w:rPr>
          <w:rFonts w:hint="eastAsia" w:ascii="仿宋_GB2312" w:hAnsi="仿宋_GB2312" w:eastAsia="仿宋_GB2312" w:cs="仿宋_GB2312"/>
          <w:sz w:val="32"/>
          <w:szCs w:val="32"/>
        </w:rPr>
        <w:t>修资金的归集及使用相关事务工作。负责城镇老小区政策</w:t>
      </w:r>
      <w:r>
        <w:rPr>
          <w:rFonts w:hint="eastAsia" w:ascii="仿宋_GB2312" w:hAnsi="仿宋_GB2312" w:eastAsia="仿宋_GB2312" w:cs="仿宋_GB2312"/>
          <w:sz w:val="32"/>
          <w:szCs w:val="32"/>
          <w:lang w:eastAsia="zh-CN"/>
        </w:rPr>
        <w:t>咨询</w:t>
      </w:r>
      <w:r>
        <w:rPr>
          <w:rFonts w:hint="eastAsia" w:ascii="仿宋_GB2312" w:hAnsi="仿宋_GB2312" w:eastAsia="仿宋_GB2312" w:cs="仿宋_GB2312"/>
          <w:sz w:val="32"/>
          <w:szCs w:val="32"/>
        </w:rPr>
        <w:t>指导、协调项目推进、项目库建立工作。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5.承担既有房屋使用安全的指导、组织排查、白蚁防治等工作。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6.承担国有土地房屋征收补偿相关事务工作。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7.负责房屋信息化和房地产市场服务数据统计、情况分析、市场调查、涉房信访相关工作。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统筹推进全市村镇建设。承担指导农村住房建设、农村房屋安全隐患排查、农村危房土坯房改造、村镇建设试点、中心镇建设和历史文化名镇(村)、传统村落、乡土建筑保护相关事务工作。承担促进乡村振兴发展相关事务工作。</w:t>
      </w:r>
    </w:p>
    <w:p>
      <w:pPr>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9.完成市住房城乡建设局交办的其他任务。</w:t>
      </w:r>
    </w:p>
    <w:p>
      <w:pPr>
        <w:ind w:firstLine="320" w:firstLineChars="100"/>
        <w:rPr>
          <w:rFonts w:hint="eastAsia" w:ascii="仿宋" w:hAnsi="仿宋" w:eastAsia="仿宋"/>
          <w:sz w:val="32"/>
          <w:szCs w:val="32"/>
        </w:rPr>
      </w:pPr>
      <w:bookmarkStart w:id="30" w:name="_Toc15378446"/>
      <w:bookmarkStart w:id="31" w:name="_Toc15377199"/>
      <w:r>
        <w:rPr>
          <w:rFonts w:hint="eastAsia" w:ascii="仿宋" w:hAnsi="仿宋" w:eastAsia="仿宋"/>
          <w:sz w:val="32"/>
          <w:szCs w:val="32"/>
        </w:rPr>
        <w:t>（二）</w:t>
      </w:r>
      <w:r>
        <w:rPr>
          <w:rFonts w:ascii="仿宋" w:hAnsi="仿宋" w:eastAsia="仿宋"/>
          <w:sz w:val="32"/>
          <w:szCs w:val="32"/>
        </w:rPr>
        <w:t>2020</w:t>
      </w:r>
      <w:r>
        <w:rPr>
          <w:rFonts w:hint="eastAsia" w:ascii="仿宋" w:hAnsi="仿宋" w:eastAsia="仿宋"/>
          <w:sz w:val="32"/>
          <w:szCs w:val="32"/>
        </w:rPr>
        <w:t>年重点工作完成情况。</w:t>
      </w:r>
      <w:bookmarkEnd w:id="30"/>
      <w:bookmarkEnd w:id="31"/>
    </w:p>
    <w:p>
      <w:pPr>
        <w:spacing w:line="576"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1.积极向上级部门争取资金，老旧小区改造工作成效明显。</w:t>
      </w:r>
      <w:r>
        <w:rPr>
          <w:rFonts w:hint="eastAsia" w:ascii="仿宋_GB2312" w:hAnsi="仿宋_GB2312" w:eastAsia="仿宋_GB2312" w:cs="仿宋_GB2312"/>
          <w:sz w:val="32"/>
          <w:szCs w:val="32"/>
        </w:rPr>
        <w:t>一是完成“2019、2020年中央补助计划的城镇老旧小区改造项目”共计452个小区，涉及33640户、面积290.61万平方米，已争取资金3.651亿元（其中：2020年32162，2019年4348万元）。督导检查县区老旧小区推进工作7次</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40"/>
        </w:rPr>
        <w:t>制定了“广元市“十四五”期间城镇老旧小区改造计划表”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40"/>
        </w:rPr>
        <w:t>同时各县区在2021年至2025年城镇老旧小区全面9调查基础上，根据掌握的详实数据，已全面启动2021-2025年城镇老旧小区规划编制工作，力争在2021年3月前完成规划编制。</w:t>
      </w:r>
      <w:r>
        <w:rPr>
          <w:rFonts w:hint="eastAsia" w:ascii="仿宋_GB2312" w:hAnsi="仿宋_GB2312" w:eastAsia="仿宋_GB2312" w:cs="仿宋_GB2312"/>
          <w:sz w:val="32"/>
          <w:szCs w:val="32"/>
        </w:rPr>
        <w:t>三是</w:t>
      </w:r>
      <w:r>
        <w:rPr>
          <w:rFonts w:hint="eastAsia" w:ascii="仿宋_GB2312" w:hAnsi="仿宋_GB2312" w:eastAsia="仿宋_GB2312" w:cs="仿宋_GB2312"/>
          <w:sz w:val="32"/>
          <w:szCs w:val="40"/>
        </w:rPr>
        <w:t>完成2018年申报成功后因业主反悔造成未实施的15部电梯调剂使用。</w:t>
      </w:r>
    </w:p>
    <w:p>
      <w:pPr>
        <w:spacing w:line="576"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2.举全处之力，做好物业小区疫情防控工作。</w:t>
      </w:r>
      <w:r>
        <w:rPr>
          <w:rFonts w:hint="eastAsia" w:ascii="仿宋_GB2312" w:hAnsi="仿宋_GB2312" w:eastAsia="仿宋_GB2312" w:cs="仿宋_GB2312"/>
          <w:sz w:val="32"/>
          <w:szCs w:val="32"/>
        </w:rPr>
        <w:t>新型冠状病毒疫情爆发后，市房地产管理处支部根据市委、市政府及局党组工作安排部署，充分发挥支部战斗堡垒作用和党员先锋模范作用，全处干部职工26人（其中党员12人）从大年初一（1月25日）开始全员停止休假，立即投入到我市房地产领域疫情防控工作中。党员干部积极响应，很多离开市城区回家过年的同志“闻令而动”，迅速赶回工作岗位，第一时间深入小区一线进行排查，大家纷纷请战，没有一个人叫苦叫累，投入到社区疫情防控最前沿。一是加强组织领导，成立市房地产管理处应对新型冠状病毒疫情联防联控工作小组，并及时下发《关于进一步做好物业小区、房地产项目销售场所新型冠状病毒感染肺炎疫情防控工作的通知》等多个文件，要求各县区和相关企业做好疫情防控工作。二是对市城区房地产开发项目进行排查督促，要求各在售房地产项目立即关闭销售场所，防止因购房群众聚集造成疫情扩散。累计向市城区30个开发企业、26个房地产开发项目发放告知书52份。三是协助主城区7个办事处对所辖物业小区进行网格化管理，拉网式排查，分赴利州区七个街道办事处、38个社区、389个物业小区协助配合社区督促物业服务企业严格落实疫情防控各项工作。共配合社区排查物业小区287个，累计排查人数140873人，其中与湖北武汉有关人员330人，督促物业小区设置废弃口罩回收桶381个，设置废弃口罩回收点144个。四是督促各物业服务企业制作张贴疫情防控标语2500余幅，张贴发放各类通知、告示、宣传单（册）15000余份。</w:t>
      </w:r>
    </w:p>
    <w:p>
      <w:pPr>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3.问题楼盘处置成效显著，信访量呈下降趋势。</w:t>
      </w:r>
      <w:r>
        <w:rPr>
          <w:rFonts w:hint="eastAsia" w:ascii="仿宋_GB2312" w:hAnsi="仿宋_GB2312" w:eastAsia="仿宋_GB2312" w:cs="仿宋_GB2312"/>
          <w:sz w:val="32"/>
          <w:szCs w:val="32"/>
        </w:rPr>
        <w:t>一是梳理问题楼盘处置情况，形成问题楼盘处置推进表，根据问题楼盘处置工作会议纪要和《广元市市城区问题楼盘不动产权证办理处置工作的实施意见》,今年列入专题集中整改的10个问题楼盘、3000余户长期办不了产权证的问题得到了彻底解决，很大程度推进了部分问题楼盘后期的收尾工作，化解了大量的信访、上访工作，通过化解，今年信访量总体呈下降趋势。二是认真对待群众来信、来访，全年回复书记市长信箱、“市领导接访日”批示件、大话利州来信近300件，接待来访群众500余人次，及时妥善处理群众反映的问题。</w:t>
      </w:r>
    </w:p>
    <w:p>
      <w:pPr>
        <w:ind w:firstLine="800" w:firstLineChars="250"/>
        <w:outlineLvl w:val="1"/>
        <w:rPr>
          <w:rFonts w:hint="eastAsia" w:ascii="黑体" w:hAnsi="黑体" w:eastAsia="黑体" w:cs="黑体"/>
          <w:sz w:val="32"/>
          <w:szCs w:val="32"/>
        </w:rPr>
      </w:pPr>
      <w:bookmarkStart w:id="32" w:name="_Toc15377200"/>
      <w:bookmarkStart w:id="33" w:name="_Toc18453"/>
      <w:bookmarkStart w:id="34" w:name="_Toc29470"/>
      <w:bookmarkStart w:id="35" w:name="_Toc15396601"/>
      <w:r>
        <w:rPr>
          <w:rFonts w:hint="eastAsia" w:ascii="黑体" w:hAnsi="黑体" w:eastAsia="黑体" w:cs="黑体"/>
          <w:sz w:val="32"/>
          <w:szCs w:val="32"/>
        </w:rPr>
        <w:t>二、机构设置</w:t>
      </w:r>
      <w:bookmarkEnd w:id="32"/>
      <w:bookmarkEnd w:id="33"/>
      <w:bookmarkEnd w:id="34"/>
      <w:bookmarkEnd w:id="35"/>
    </w:p>
    <w:p>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广元市房地产管理处是财政全额拨款事业单位，无下属单位。截止2020年年末，中心编制人数32人，实际在职人数21人。</w:t>
      </w:r>
    </w:p>
    <w:p>
      <w:pPr>
        <w:ind w:firstLine="640" w:firstLineChars="200"/>
        <w:rPr>
          <w:rFonts w:hint="eastAsia"/>
        </w:rPr>
      </w:pPr>
      <w:r>
        <w:rPr>
          <w:rFonts w:hint="eastAsia" w:ascii="仿宋_GB2312" w:hAnsi="仿宋_GB2312" w:eastAsia="仿宋_GB2312" w:cs="仿宋_GB2312"/>
          <w:kern w:val="0"/>
          <w:sz w:val="32"/>
          <w:szCs w:val="32"/>
        </w:rPr>
        <w:t>广元市房地产管理处</w:t>
      </w:r>
      <w:r>
        <w:rPr>
          <w:rFonts w:hint="eastAsia" w:ascii="仿宋_GB2312" w:hAnsi="微软雅黑" w:eastAsia="仿宋_GB2312" w:cs="仿宋_GB2312"/>
          <w:sz w:val="32"/>
          <w:szCs w:val="32"/>
        </w:rPr>
        <w:t>内设科室分别为：</w:t>
      </w:r>
      <w:r>
        <w:rPr>
          <w:rFonts w:hint="eastAsia" w:ascii="仿宋" w:hAnsi="仿宋" w:eastAsia="仿宋"/>
          <w:sz w:val="32"/>
          <w:szCs w:val="32"/>
        </w:rPr>
        <w:t>综合科、住房保障事务科、房地产市场服务科、房屋安全事务科、房屋征收事务科、物业服务科、村镇建设事务科。</w:t>
      </w:r>
    </w:p>
    <w:p>
      <w:pPr>
        <w:widowControl/>
        <w:jc w:val="left"/>
        <w:rPr>
          <w:rFonts w:ascii="仿宋" w:hAnsi="仿宋" w:eastAsia="仿宋"/>
          <w:color w:val="000000"/>
          <w:kern w:val="0"/>
          <w:sz w:val="32"/>
          <w:szCs w:val="32"/>
        </w:rPr>
      </w:pPr>
    </w:p>
    <w:p>
      <w:pPr>
        <w:pStyle w:val="3"/>
        <w:spacing w:line="240" w:lineRule="auto"/>
        <w:ind w:right="442"/>
        <w:jc w:val="right"/>
        <w:outlineLvl w:val="9"/>
        <w:rPr>
          <w:rFonts w:hint="eastAsia" w:ascii="黑体" w:hAnsi="黑体" w:eastAsia="黑体"/>
          <w:b w:val="0"/>
          <w:color w:val="000000"/>
        </w:rPr>
      </w:pPr>
      <w:bookmarkStart w:id="36" w:name="_Toc15396602"/>
      <w:bookmarkStart w:id="37" w:name="_Toc15377204"/>
    </w:p>
    <w:p>
      <w:pPr>
        <w:pStyle w:val="3"/>
        <w:spacing w:line="240" w:lineRule="auto"/>
        <w:ind w:right="442"/>
        <w:jc w:val="right"/>
        <w:outlineLvl w:val="9"/>
        <w:rPr>
          <w:rFonts w:hint="eastAsia" w:ascii="黑体" w:hAnsi="黑体" w:eastAsia="黑体"/>
          <w:b w:val="0"/>
          <w:color w:val="000000"/>
        </w:rPr>
      </w:pPr>
    </w:p>
    <w:p>
      <w:pPr>
        <w:rPr>
          <w:rFonts w:hint="eastAsia" w:ascii="黑体" w:hAnsi="黑体" w:eastAsia="黑体"/>
          <w:b/>
          <w:color w:val="000000"/>
        </w:rPr>
      </w:pPr>
    </w:p>
    <w:p>
      <w:pPr>
        <w:pStyle w:val="2"/>
        <w:rPr>
          <w:rFonts w:hint="eastAsia"/>
        </w:rPr>
      </w:pPr>
    </w:p>
    <w:p>
      <w:pPr>
        <w:rPr>
          <w:rFonts w:hint="eastAsia" w:ascii="黑体" w:hAnsi="黑体" w:eastAsia="黑体"/>
          <w:b/>
          <w:color w:val="000000"/>
        </w:rPr>
      </w:pPr>
    </w:p>
    <w:p>
      <w:pPr>
        <w:pStyle w:val="2"/>
        <w:rPr>
          <w:rFonts w:hint="eastAsia" w:ascii="黑体" w:hAnsi="黑体" w:eastAsia="黑体"/>
          <w:b/>
          <w:color w:val="000000"/>
        </w:rPr>
      </w:pPr>
    </w:p>
    <w:p>
      <w:pPr>
        <w:pStyle w:val="2"/>
        <w:rPr>
          <w:rFonts w:hint="eastAsia" w:ascii="黑体" w:hAnsi="黑体" w:eastAsia="黑体"/>
          <w:b/>
          <w:color w:val="000000"/>
        </w:rPr>
      </w:pPr>
    </w:p>
    <w:p>
      <w:pPr>
        <w:pStyle w:val="3"/>
        <w:numPr>
          <w:ilvl w:val="0"/>
          <w:numId w:val="1"/>
        </w:numPr>
        <w:spacing w:before="0" w:after="0" w:line="240" w:lineRule="auto"/>
        <w:jc w:val="center"/>
      </w:pPr>
      <w:bookmarkStart w:id="38" w:name="_Toc32443"/>
      <w:bookmarkStart w:id="39" w:name="_Toc25240"/>
      <w:r>
        <w:rPr>
          <w:rStyle w:val="17"/>
          <w:rFonts w:ascii="黑体" w:hAnsi="黑体" w:eastAsia="黑体"/>
          <w:b w:val="0"/>
          <w:bCs w:val="0"/>
        </w:rPr>
        <w:t>2020</w:t>
      </w:r>
      <w:r>
        <w:rPr>
          <w:rStyle w:val="17"/>
          <w:rFonts w:hint="eastAsia" w:ascii="黑体" w:hAnsi="黑体" w:eastAsia="黑体"/>
          <w:b w:val="0"/>
          <w:bCs w:val="0"/>
        </w:rPr>
        <w:t>年度部门决算情况说明</w:t>
      </w:r>
      <w:bookmarkEnd w:id="36"/>
      <w:bookmarkEnd w:id="37"/>
      <w:bookmarkEnd w:id="38"/>
      <w:bookmarkEnd w:id="39"/>
    </w:p>
    <w:p>
      <w:pPr>
        <w:pStyle w:val="26"/>
        <w:spacing w:line="600" w:lineRule="exact"/>
        <w:ind w:left="640" w:firstLine="0" w:firstLineChars="0"/>
        <w:outlineLvl w:val="9"/>
        <w:rPr>
          <w:rStyle w:val="18"/>
          <w:rFonts w:ascii="黑体" w:hAnsi="黑体" w:eastAsia="黑体"/>
          <w:b w:val="0"/>
        </w:rPr>
      </w:pPr>
      <w:bookmarkStart w:id="40" w:name="_Toc15377205"/>
      <w:bookmarkStart w:id="41" w:name="_Toc15396603"/>
    </w:p>
    <w:p>
      <w:pPr>
        <w:pStyle w:val="26"/>
        <w:spacing w:line="600" w:lineRule="exact"/>
        <w:ind w:left="640" w:firstLine="0" w:firstLineChars="0"/>
        <w:outlineLvl w:val="1"/>
        <w:rPr>
          <w:rStyle w:val="18"/>
          <w:rFonts w:ascii="黑体" w:hAnsi="黑体" w:eastAsia="黑体"/>
          <w:b w:val="0"/>
        </w:rPr>
      </w:pPr>
      <w:bookmarkStart w:id="42" w:name="_Toc2759"/>
      <w:bookmarkStart w:id="43" w:name="_Toc19572"/>
      <w:r>
        <w:rPr>
          <w:rFonts w:hint="eastAsia" w:ascii="黑体" w:hAnsi="黑体" w:eastAsia="黑体"/>
          <w:color w:val="000000"/>
          <w:sz w:val="32"/>
          <w:szCs w:val="32"/>
        </w:rPr>
        <w:t>一、收</w:t>
      </w:r>
      <w:r>
        <w:rPr>
          <w:rStyle w:val="18"/>
          <w:rFonts w:hint="eastAsia" w:ascii="黑体" w:hAnsi="黑体" w:eastAsia="黑体"/>
          <w:b w:val="0"/>
        </w:rPr>
        <w:t>入支出决算总体情况说明</w:t>
      </w:r>
      <w:bookmarkEnd w:id="40"/>
      <w:bookmarkEnd w:id="41"/>
      <w:bookmarkEnd w:id="42"/>
      <w:bookmarkEnd w:id="43"/>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2020年度收、支总计346万元。与2019年相比，收、支总计各减少44.29万元，下降11.35%。</w:t>
      </w:r>
      <w:r>
        <w:rPr>
          <w:rFonts w:hint="eastAsia" w:ascii="仿宋" w:hAnsi="仿宋" w:eastAsia="仿宋"/>
          <w:color w:val="000000"/>
          <w:sz w:val="32"/>
          <w:szCs w:val="32"/>
        </w:rPr>
        <w:t>主要变动原因是</w:t>
      </w:r>
      <w:r>
        <w:rPr>
          <w:rFonts w:hint="eastAsia" w:ascii="仿宋_GB2312" w:hAnsi="仿宋_GB2312" w:eastAsia="仿宋_GB2312" w:cs="仿宋_GB2312"/>
          <w:color w:val="000000"/>
          <w:sz w:val="32"/>
          <w:szCs w:val="32"/>
        </w:rPr>
        <w:t>严格控制经费，日常公用经费标准降低。</w:t>
      </w:r>
    </w:p>
    <w:p>
      <w:pPr>
        <w:pStyle w:val="2"/>
        <w:jc w:val="center"/>
      </w:pPr>
      <w:r>
        <w:drawing>
          <wp:inline distT="0" distB="0" distL="114300" distR="114300">
            <wp:extent cx="4114800" cy="2590800"/>
            <wp:effectExtent l="4445" t="4445" r="14605" b="14605"/>
            <wp:docPr id="1" name="图片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spacing w:line="600" w:lineRule="exact"/>
        <w:ind w:firstLine="640" w:firstLineChars="200"/>
        <w:jc w:val="left"/>
        <w:rPr>
          <w:rFonts w:ascii="仿宋_GB2312" w:eastAsia="仿宋_GB2312"/>
          <w:color w:val="000000"/>
          <w:sz w:val="32"/>
          <w:szCs w:val="32"/>
        </w:rPr>
      </w:pPr>
    </w:p>
    <w:p>
      <w:pPr>
        <w:pStyle w:val="26"/>
        <w:spacing w:line="600" w:lineRule="exact"/>
        <w:ind w:left="640" w:firstLine="0" w:firstLineChars="0"/>
        <w:outlineLvl w:val="1"/>
        <w:rPr>
          <w:rStyle w:val="18"/>
          <w:rFonts w:ascii="黑体" w:hAnsi="黑体" w:eastAsia="黑体"/>
          <w:b w:val="0"/>
        </w:rPr>
      </w:pPr>
      <w:bookmarkStart w:id="44" w:name="_Toc27638"/>
      <w:bookmarkStart w:id="45" w:name="_Toc15396604"/>
      <w:bookmarkStart w:id="46" w:name="_Toc15377206"/>
      <w:bookmarkStart w:id="47" w:name="_Toc3419"/>
      <w:r>
        <w:rPr>
          <w:rFonts w:hint="eastAsia" w:ascii="黑体" w:hAnsi="黑体" w:eastAsia="黑体"/>
          <w:color w:val="000000"/>
          <w:sz w:val="32"/>
          <w:szCs w:val="32"/>
        </w:rPr>
        <w:t>二、收</w:t>
      </w:r>
      <w:r>
        <w:rPr>
          <w:rStyle w:val="18"/>
          <w:rFonts w:hint="eastAsia" w:ascii="黑体" w:hAnsi="黑体" w:eastAsia="黑体"/>
          <w:b w:val="0"/>
        </w:rPr>
        <w:t>入决算情况说明</w:t>
      </w:r>
      <w:bookmarkEnd w:id="44"/>
      <w:bookmarkEnd w:id="45"/>
      <w:bookmarkEnd w:id="46"/>
      <w:bookmarkEnd w:id="47"/>
    </w:p>
    <w:p>
      <w:pPr>
        <w:ind w:firstLine="640" w:firstLineChars="200"/>
        <w:outlineLvl w:val="1"/>
        <w:rPr>
          <w:rFonts w:hint="eastAsia" w:ascii="仿宋_GB2312" w:hAnsi="仿宋_GB2312" w:eastAsia="仿宋_GB2312" w:cs="仿宋_GB2312"/>
          <w:color w:val="000000"/>
          <w:sz w:val="32"/>
          <w:szCs w:val="32"/>
        </w:rPr>
      </w:pPr>
      <w:bookmarkStart w:id="48" w:name="_Toc11628"/>
      <w:bookmarkStart w:id="49" w:name="_Toc9310"/>
      <w:r>
        <w:rPr>
          <w:rFonts w:hint="eastAsia" w:ascii="仿宋_GB2312" w:hAnsi="仿宋_GB2312" w:eastAsia="仿宋_GB2312" w:cs="仿宋_GB2312"/>
          <w:color w:val="000000"/>
          <w:sz w:val="32"/>
          <w:szCs w:val="32"/>
        </w:rPr>
        <w:t>2020年本年收入合计274.35万元，其中：一般公共预算财政拨款收入274.35万元，占100%；政府性基金预算财政拨款收入0万元，占0%；上级补助收入0万元，占0%；事业收入0万元，占0%；经营收入0万元，占0%；附属单位上缴收入0万元，占0%；其他收入0万元，占0%。</w:t>
      </w:r>
      <w:bookmarkEnd w:id="48"/>
      <w:bookmarkEnd w:id="49"/>
    </w:p>
    <w:p>
      <w:pPr>
        <w:ind w:firstLine="420" w:firstLineChars="200"/>
        <w:jc w:val="center"/>
        <w:outlineLvl w:val="9"/>
        <w:rPr>
          <w:rFonts w:ascii="仿宋" w:hAnsi="仿宋" w:eastAsia="仿宋"/>
          <w:color w:val="000000"/>
          <w:sz w:val="32"/>
          <w:szCs w:val="32"/>
        </w:rPr>
      </w:pPr>
      <w:r>
        <w:drawing>
          <wp:inline distT="0" distB="0" distL="114300" distR="114300">
            <wp:extent cx="4076700" cy="2800350"/>
            <wp:effectExtent l="4445" t="4445" r="14605" b="14605"/>
            <wp:docPr id="2" name="图表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spacing w:line="600" w:lineRule="exact"/>
        <w:ind w:firstLine="640" w:firstLineChars="200"/>
        <w:rPr>
          <w:rFonts w:ascii="仿宋_GB2312" w:eastAsia="仿宋_GB2312"/>
          <w:color w:val="FF0000"/>
          <w:sz w:val="32"/>
          <w:szCs w:val="32"/>
        </w:rPr>
      </w:pPr>
    </w:p>
    <w:p>
      <w:pPr>
        <w:pStyle w:val="26"/>
        <w:spacing w:line="600" w:lineRule="exact"/>
        <w:ind w:left="640" w:firstLine="0" w:firstLineChars="0"/>
        <w:outlineLvl w:val="1"/>
        <w:rPr>
          <w:rStyle w:val="18"/>
          <w:rFonts w:ascii="黑体" w:hAnsi="黑体" w:eastAsia="黑体"/>
          <w:b w:val="0"/>
        </w:rPr>
      </w:pPr>
      <w:bookmarkStart w:id="50" w:name="_Toc16897"/>
      <w:bookmarkStart w:id="51" w:name="_Toc27595"/>
      <w:bookmarkStart w:id="52" w:name="_Toc15396605"/>
      <w:bookmarkStart w:id="53" w:name="_Toc15377207"/>
      <w:r>
        <w:rPr>
          <w:rFonts w:hint="eastAsia" w:ascii="黑体" w:hAnsi="黑体" w:eastAsia="黑体"/>
          <w:color w:val="000000"/>
          <w:sz w:val="32"/>
          <w:szCs w:val="32"/>
        </w:rPr>
        <w:t>三、支</w:t>
      </w:r>
      <w:r>
        <w:rPr>
          <w:rStyle w:val="18"/>
          <w:rFonts w:hint="eastAsia" w:ascii="黑体" w:hAnsi="黑体" w:eastAsia="黑体"/>
          <w:b w:val="0"/>
        </w:rPr>
        <w:t>出决算情况说明</w:t>
      </w:r>
      <w:bookmarkEnd w:id="50"/>
      <w:bookmarkEnd w:id="51"/>
      <w:bookmarkEnd w:id="52"/>
      <w:bookmarkEnd w:id="53"/>
    </w:p>
    <w:p>
      <w:pPr>
        <w:ind w:firstLine="640" w:firstLineChars="200"/>
        <w:outlineLvl w:val="1"/>
        <w:rPr>
          <w:rFonts w:hint="eastAsia" w:ascii="仿宋_GB2312" w:hAnsi="仿宋_GB2312" w:eastAsia="仿宋_GB2312" w:cs="仿宋_GB2312"/>
          <w:color w:val="000000"/>
          <w:sz w:val="32"/>
          <w:szCs w:val="32"/>
        </w:rPr>
      </w:pPr>
      <w:bookmarkStart w:id="54" w:name="_Toc8537"/>
      <w:bookmarkStart w:id="55" w:name="_Toc25415"/>
      <w:r>
        <w:rPr>
          <w:rFonts w:hint="eastAsia" w:ascii="仿宋_GB2312" w:hAnsi="仿宋_GB2312" w:eastAsia="仿宋_GB2312" w:cs="仿宋_GB2312"/>
          <w:color w:val="000000"/>
          <w:sz w:val="32"/>
          <w:szCs w:val="32"/>
        </w:rPr>
        <w:t>2020年本年支出合计344.94万元，其中：基本支出344.94万元，占100%；项目支出0万元，占0%；上缴上级支出0万元，占0%；经营支出0万元，占0%；对附属单位补助支出0万元，占0%。</w:t>
      </w:r>
      <w:bookmarkEnd w:id="54"/>
      <w:bookmarkEnd w:id="55"/>
    </w:p>
    <w:p>
      <w:pPr>
        <w:ind w:firstLine="640"/>
        <w:jc w:val="center"/>
        <w:rPr>
          <w:rFonts w:ascii="仿宋" w:hAnsi="仿宋" w:eastAsia="仿宋"/>
          <w:color w:val="000000"/>
          <w:sz w:val="32"/>
          <w:szCs w:val="32"/>
          <w:shd w:val="pct10" w:color="auto" w:fill="FFFFFF"/>
        </w:rPr>
      </w:pPr>
      <w:r>
        <w:drawing>
          <wp:inline distT="0" distB="0" distL="114300" distR="114300">
            <wp:extent cx="4076700" cy="2609850"/>
            <wp:effectExtent l="4445" t="4445" r="14605" b="14605"/>
            <wp:docPr id="3" name="图表 3"/>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spacing w:line="600" w:lineRule="exact"/>
        <w:ind w:firstLine="640" w:firstLineChars="200"/>
        <w:outlineLvl w:val="1"/>
        <w:rPr>
          <w:rStyle w:val="18"/>
          <w:rFonts w:ascii="黑体" w:hAnsi="黑体" w:eastAsia="黑体"/>
          <w:b w:val="0"/>
        </w:rPr>
      </w:pPr>
      <w:bookmarkStart w:id="56" w:name="_Toc15396606"/>
      <w:bookmarkStart w:id="57" w:name="_Toc29817"/>
      <w:bookmarkStart w:id="58" w:name="_Toc31161"/>
      <w:bookmarkStart w:id="59" w:name="_Toc15377208"/>
      <w:r>
        <w:rPr>
          <w:rFonts w:hint="eastAsia" w:ascii="黑体" w:hAnsi="黑体" w:eastAsia="黑体"/>
          <w:color w:val="000000"/>
          <w:sz w:val="32"/>
          <w:szCs w:val="32"/>
        </w:rPr>
        <w:t>四、财</w:t>
      </w:r>
      <w:r>
        <w:rPr>
          <w:rStyle w:val="18"/>
          <w:rFonts w:hint="eastAsia" w:ascii="黑体" w:hAnsi="黑体" w:eastAsia="黑体"/>
          <w:b w:val="0"/>
        </w:rPr>
        <w:t>政拨款收入支出决算总体情况说明</w:t>
      </w:r>
      <w:bookmarkEnd w:id="56"/>
      <w:bookmarkEnd w:id="57"/>
      <w:bookmarkEnd w:id="58"/>
      <w:bookmarkEnd w:id="59"/>
    </w:p>
    <w:p>
      <w:pPr>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2020年财政拨款收、支总计345.99万元。与2019年相比，财政拨款收、支总计各减少44.21万元，下降11.33%。主要变动原因是2020年严格控制经费，压缩各项支出。</w:t>
      </w:r>
    </w:p>
    <w:p>
      <w:pPr>
        <w:jc w:val="center"/>
        <w:rPr>
          <w:rFonts w:ascii="仿宋" w:hAnsi="仿宋" w:eastAsia="仿宋"/>
          <w:color w:val="000000"/>
          <w:sz w:val="32"/>
          <w:szCs w:val="32"/>
        </w:rPr>
      </w:pPr>
      <w:r>
        <w:drawing>
          <wp:inline distT="0" distB="0" distL="114300" distR="114300">
            <wp:extent cx="4133850" cy="2800350"/>
            <wp:effectExtent l="4445" t="4445" r="14605" b="14605"/>
            <wp:docPr id="4" name="图表 4"/>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jc w:val="center"/>
        <w:rPr>
          <w:rFonts w:ascii="仿宋" w:hAnsi="仿宋" w:eastAsia="仿宋"/>
          <w:b/>
          <w:color w:val="00B05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firstLineChars="200"/>
        <w:outlineLvl w:val="1"/>
        <w:rPr>
          <w:rStyle w:val="18"/>
          <w:rFonts w:ascii="黑体" w:hAnsi="黑体" w:eastAsia="黑体"/>
          <w:b w:val="0"/>
        </w:rPr>
      </w:pPr>
      <w:bookmarkStart w:id="60" w:name="_Toc25677"/>
      <w:bookmarkStart w:id="61" w:name="_Toc15377209"/>
      <w:bookmarkStart w:id="62" w:name="_Toc15396607"/>
      <w:bookmarkStart w:id="63" w:name="_Toc3049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60"/>
      <w:bookmarkEnd w:id="61"/>
      <w:bookmarkEnd w:id="62"/>
      <w:bookmarkEnd w:id="63"/>
    </w:p>
    <w:p>
      <w:pPr>
        <w:spacing w:line="600" w:lineRule="exact"/>
        <w:ind w:firstLine="642" w:firstLineChars="200"/>
        <w:outlineLvl w:val="2"/>
        <w:rPr>
          <w:rFonts w:ascii="仿宋" w:hAnsi="仿宋" w:eastAsia="仿宋"/>
          <w:b/>
          <w:color w:val="000000"/>
          <w:sz w:val="32"/>
          <w:szCs w:val="32"/>
        </w:rPr>
      </w:pPr>
      <w:bookmarkStart w:id="64" w:name="_Toc15377210"/>
      <w:r>
        <w:rPr>
          <w:rFonts w:hint="eastAsia" w:ascii="仿宋" w:hAnsi="仿宋" w:eastAsia="仿宋"/>
          <w:b/>
          <w:color w:val="000000"/>
          <w:sz w:val="32"/>
          <w:szCs w:val="32"/>
        </w:rPr>
        <w:t>（一）一般公共预算财政拨款支出决算总体情况</w:t>
      </w:r>
      <w:bookmarkEnd w:id="64"/>
    </w:p>
    <w:p>
      <w:pPr>
        <w:ind w:firstLine="640" w:firstLineChars="200"/>
        <w:rPr>
          <w:rFonts w:hint="eastAsia" w:ascii="仿宋" w:hAnsi="仿宋" w:eastAsia="仿宋"/>
          <w:color w:val="000000"/>
          <w:sz w:val="32"/>
          <w:szCs w:val="32"/>
        </w:rPr>
      </w:pPr>
      <w:r>
        <w:rPr>
          <w:rFonts w:hint="eastAsia" w:ascii="仿宋_GB2312" w:hAnsi="仿宋_GB2312" w:eastAsia="仿宋_GB2312" w:cs="仿宋_GB2312"/>
          <w:color w:val="000000"/>
          <w:sz w:val="32"/>
          <w:szCs w:val="32"/>
        </w:rPr>
        <w:t>2020年一般公共预算财政拨款支出344.93万元，占本年支出合计的99.</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9%。与2019年相比，一般公共预算财政拨款增加43.76万元，增长14.53%。主要变动原因是人员增加，调入1人，新进2人。</w:t>
      </w:r>
    </w:p>
    <w:p>
      <w:pPr>
        <w:ind w:firstLine="420" w:firstLineChars="200"/>
        <w:jc w:val="center"/>
        <w:rPr>
          <w:rFonts w:ascii="仿宋" w:hAnsi="仿宋" w:eastAsia="仿宋"/>
          <w:color w:val="000000"/>
          <w:sz w:val="32"/>
          <w:szCs w:val="32"/>
        </w:rPr>
      </w:pPr>
      <w:r>
        <w:drawing>
          <wp:inline distT="0" distB="0" distL="114300" distR="114300">
            <wp:extent cx="4076700" cy="2762250"/>
            <wp:effectExtent l="4445" t="4445" r="14605" b="14605"/>
            <wp:docPr id="5" name="图表 5"/>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ind w:firstLine="642" w:firstLineChars="200"/>
        <w:outlineLvl w:val="2"/>
        <w:rPr>
          <w:rFonts w:ascii="仿宋" w:hAnsi="仿宋" w:eastAsia="仿宋"/>
          <w:b/>
          <w:color w:val="000000"/>
          <w:sz w:val="32"/>
          <w:szCs w:val="32"/>
        </w:rPr>
      </w:pPr>
      <w:bookmarkStart w:id="65" w:name="_Toc15377211"/>
      <w:r>
        <w:rPr>
          <w:rFonts w:hint="eastAsia" w:ascii="仿宋" w:hAnsi="仿宋" w:eastAsia="仿宋"/>
          <w:b/>
          <w:color w:val="000000"/>
          <w:sz w:val="32"/>
          <w:szCs w:val="32"/>
        </w:rPr>
        <w:t>（二）一般公共预算财政拨款支出决算结构情况</w:t>
      </w:r>
      <w:bookmarkEnd w:id="65"/>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财政拨款支出344.93万元，主要用于以下方面:一般公共服务（类）支出0万元，占0%；教育支出（类）0万元，占0%；科学技术（类）支出0万元，占0%；文化旅游体育与传媒（类）支出0万元，占0%；社会保障和就业（类）支出21.69万元，占6.29%；卫生健康（类）支出11.43万元，占3.31%；城乡社区（类）支出292.32万元，占84.75%；住房保障（类）支出19.49万元，占5%；</w:t>
      </w:r>
    </w:p>
    <w:p>
      <w:pPr>
        <w:pStyle w:val="2"/>
        <w:jc w:val="center"/>
      </w:pPr>
      <w:r>
        <w:drawing>
          <wp:inline distT="0" distB="0" distL="114300" distR="114300">
            <wp:extent cx="4114800" cy="2762250"/>
            <wp:effectExtent l="4445" t="4445" r="1460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6</w:t>
      </w:r>
      <w:r>
        <w:rPr>
          <w:rFonts w:hint="eastAsia" w:ascii="仿宋" w:hAnsi="仿宋" w:eastAsia="仿宋"/>
          <w:sz w:val="32"/>
          <w:szCs w:val="32"/>
        </w:rPr>
        <w:t>：一般公共预算财政拨款支出决算结构）</w:t>
      </w:r>
    </w:p>
    <w:p>
      <w:pPr>
        <w:spacing w:line="600" w:lineRule="exact"/>
        <w:ind w:firstLine="642" w:firstLineChars="200"/>
        <w:outlineLvl w:val="2"/>
        <w:rPr>
          <w:rFonts w:ascii="仿宋" w:hAnsi="仿宋" w:eastAsia="仿宋"/>
          <w:b/>
          <w:sz w:val="32"/>
          <w:szCs w:val="32"/>
        </w:rPr>
      </w:pPr>
      <w:bookmarkStart w:id="66" w:name="_Toc15377212"/>
      <w:r>
        <w:rPr>
          <w:rFonts w:hint="eastAsia" w:ascii="仿宋" w:hAnsi="仿宋" w:eastAsia="仿宋"/>
          <w:b/>
          <w:sz w:val="32"/>
          <w:szCs w:val="32"/>
        </w:rPr>
        <w:t>（三）一般公共预算财政拨款支出决算具体情况</w:t>
      </w:r>
      <w:bookmarkEnd w:id="66"/>
    </w:p>
    <w:p>
      <w:pPr>
        <w:spacing w:line="600" w:lineRule="exact"/>
        <w:ind w:firstLine="642" w:firstLineChars="200"/>
        <w:outlineLvl w:val="2"/>
        <w:rPr>
          <w:rFonts w:ascii="仿宋" w:hAnsi="仿宋" w:eastAsia="仿宋"/>
          <w:sz w:val="32"/>
          <w:szCs w:val="32"/>
        </w:rPr>
      </w:pPr>
      <w:bookmarkStart w:id="67" w:name="_Toc15377444"/>
      <w:bookmarkStart w:id="68" w:name="_Toc15377213"/>
      <w:bookmarkStart w:id="69" w:name="_Toc15378460"/>
      <w:r>
        <w:rPr>
          <w:rFonts w:ascii="仿宋" w:hAnsi="仿宋" w:eastAsia="仿宋"/>
          <w:b/>
          <w:sz w:val="32"/>
          <w:szCs w:val="32"/>
        </w:rPr>
        <w:t>2020</w:t>
      </w:r>
      <w:r>
        <w:rPr>
          <w:rFonts w:hint="eastAsia" w:ascii="仿宋" w:hAnsi="仿宋" w:eastAsia="仿宋"/>
          <w:b/>
          <w:sz w:val="32"/>
          <w:szCs w:val="32"/>
        </w:rPr>
        <w:t>年一般公共预算支出决算数为344.93万元</w:t>
      </w:r>
      <w:r>
        <w:rPr>
          <w:rFonts w:hint="eastAsia" w:ascii="仿宋" w:hAnsi="仿宋" w:eastAsia="仿宋"/>
          <w:sz w:val="32"/>
          <w:szCs w:val="32"/>
        </w:rPr>
        <w:t>，</w:t>
      </w:r>
      <w:r>
        <w:rPr>
          <w:rStyle w:val="14"/>
          <w:rFonts w:hint="eastAsia" w:ascii="仿宋" w:hAnsi="仿宋" w:eastAsia="仿宋"/>
          <w:bCs/>
          <w:sz w:val="32"/>
          <w:szCs w:val="32"/>
        </w:rPr>
        <w:t>完成预算99.69</w:t>
      </w:r>
      <w:r>
        <w:rPr>
          <w:rStyle w:val="14"/>
          <w:rFonts w:ascii="仿宋" w:hAnsi="仿宋" w:eastAsia="仿宋"/>
          <w:bCs/>
          <w:sz w:val="32"/>
          <w:szCs w:val="32"/>
        </w:rPr>
        <w:t>%</w:t>
      </w:r>
      <w:r>
        <w:rPr>
          <w:rStyle w:val="14"/>
          <w:rFonts w:hint="eastAsia" w:ascii="仿宋" w:hAnsi="仿宋" w:eastAsia="仿宋"/>
          <w:bCs/>
          <w:sz w:val="32"/>
          <w:szCs w:val="32"/>
        </w:rPr>
        <w:t>。其中：</w:t>
      </w:r>
      <w:bookmarkEnd w:id="67"/>
      <w:bookmarkEnd w:id="68"/>
      <w:bookmarkEnd w:id="69"/>
    </w:p>
    <w:p>
      <w:pPr>
        <w:spacing w:line="600" w:lineRule="exact"/>
        <w:ind w:firstLine="640" w:firstLineChars="200"/>
        <w:rPr>
          <w:rFonts w:hint="eastAsia" w:ascii="仿宋_GB2312" w:hAnsi="仿宋_GB2312" w:eastAsia="仿宋_GB2312" w:cs="仿宋_GB2312"/>
          <w:b w:val="0"/>
          <w:bCs w:val="0"/>
          <w:sz w:val="32"/>
          <w:szCs w:val="32"/>
        </w:rPr>
      </w:pPr>
      <w:r>
        <w:rPr>
          <w:rStyle w:val="14"/>
          <w:rFonts w:hint="eastAsia" w:ascii="仿宋_GB2312" w:hAnsi="仿宋_GB2312" w:eastAsia="仿宋_GB2312" w:cs="仿宋_GB2312"/>
          <w:b w:val="0"/>
          <w:bCs w:val="0"/>
          <w:sz w:val="32"/>
          <w:szCs w:val="32"/>
        </w:rPr>
        <w:t>1.社会保障和就业（类）行政事业单位养老支出（款）机关事业单位基本养老保险缴费支出（项）: 支出决算为21.69万元，完成预算100%，决算数等于预算数的主要原因是用于缴纳职工养老保险。</w:t>
      </w:r>
    </w:p>
    <w:p>
      <w:pPr>
        <w:spacing w:line="600" w:lineRule="exact"/>
        <w:ind w:firstLine="640" w:firstLineChars="200"/>
        <w:rPr>
          <w:rStyle w:val="14"/>
          <w:rFonts w:hint="eastAsia" w:ascii="仿宋_GB2312" w:hAnsi="仿宋_GB2312" w:eastAsia="仿宋_GB2312" w:cs="仿宋_GB2312"/>
          <w:b w:val="0"/>
          <w:bCs w:val="0"/>
          <w:sz w:val="32"/>
          <w:szCs w:val="32"/>
        </w:rPr>
      </w:pPr>
      <w:r>
        <w:rPr>
          <w:rStyle w:val="14"/>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卫生健康</w:t>
      </w:r>
      <w:r>
        <w:rPr>
          <w:rStyle w:val="14"/>
          <w:rFonts w:hint="eastAsia" w:ascii="仿宋_GB2312" w:hAnsi="仿宋_GB2312" w:eastAsia="仿宋_GB2312" w:cs="仿宋_GB2312"/>
          <w:b w:val="0"/>
          <w:bCs w:val="0"/>
          <w:sz w:val="32"/>
          <w:szCs w:val="32"/>
        </w:rPr>
        <w:t>（类）行政事业单位医疗（款）事业单位医疗（项）:支出决算为11.43万元，完成预算100%，决算数等于预算数的主要原因是用于缴纳职工医疗保险。</w:t>
      </w:r>
    </w:p>
    <w:p>
      <w:pPr>
        <w:spacing w:line="600" w:lineRule="exact"/>
        <w:ind w:firstLine="640" w:firstLineChars="200"/>
        <w:rPr>
          <w:rStyle w:val="14"/>
          <w:rFonts w:hint="eastAsia" w:ascii="仿宋_GB2312" w:hAnsi="仿宋_GB2312" w:eastAsia="仿宋_GB2312" w:cs="仿宋_GB2312"/>
          <w:b w:val="0"/>
          <w:bCs w:val="0"/>
          <w:sz w:val="32"/>
          <w:szCs w:val="32"/>
        </w:rPr>
      </w:pPr>
      <w:r>
        <w:rPr>
          <w:rStyle w:val="14"/>
          <w:rFonts w:hint="eastAsia" w:ascii="仿宋_GB2312" w:hAnsi="仿宋_GB2312" w:eastAsia="仿宋_GB2312" w:cs="仿宋_GB2312"/>
          <w:b w:val="0"/>
          <w:bCs w:val="0"/>
          <w:sz w:val="32"/>
          <w:szCs w:val="32"/>
        </w:rPr>
        <w:t>3.住房保障（类）住房改革支出（款）住房公积金（项）：支出决算为19.49万元，完成预算100%，决算数等于预算数的主要原因是用于缴纳职工住房公积金。</w:t>
      </w:r>
    </w:p>
    <w:p>
      <w:pPr>
        <w:spacing w:line="600" w:lineRule="exact"/>
        <w:ind w:firstLine="640" w:firstLineChars="200"/>
        <w:rPr>
          <w:rFonts w:hint="eastAsia" w:ascii="仿宋_GB2312" w:hAnsi="仿宋_GB2312" w:eastAsia="仿宋_GB2312" w:cs="仿宋_GB2312"/>
          <w:b w:val="0"/>
          <w:bCs w:val="0"/>
          <w:sz w:val="32"/>
          <w:szCs w:val="32"/>
        </w:rPr>
      </w:pPr>
      <w:r>
        <w:rPr>
          <w:rStyle w:val="14"/>
          <w:rFonts w:hint="eastAsia" w:ascii="仿宋_GB2312" w:hAnsi="仿宋_GB2312" w:eastAsia="仿宋_GB2312" w:cs="仿宋_GB2312"/>
          <w:b w:val="0"/>
          <w:bCs w:val="0"/>
          <w:sz w:val="32"/>
          <w:szCs w:val="32"/>
        </w:rPr>
        <w:t>4.城乡社区（类）城乡社区管理事务（款） 住宅建设与房地产市场监管（项）：支出决算为292.32万元，完成预算99.69%，决算数小于预算数的主要原因是新近人员年终绩效分段计算。</w:t>
      </w:r>
    </w:p>
    <w:p>
      <w:pPr>
        <w:tabs>
          <w:tab w:val="right" w:pos="8306"/>
        </w:tabs>
        <w:spacing w:line="600" w:lineRule="exact"/>
        <w:ind w:firstLine="640"/>
        <w:outlineLvl w:val="1"/>
        <w:rPr>
          <w:rStyle w:val="18"/>
        </w:rPr>
      </w:pPr>
      <w:bookmarkStart w:id="70" w:name="_Toc1187"/>
      <w:bookmarkStart w:id="71" w:name="_Toc15396608"/>
      <w:bookmarkStart w:id="72" w:name="_Toc13531"/>
      <w:bookmarkStart w:id="7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70"/>
      <w:bookmarkEnd w:id="71"/>
      <w:bookmarkEnd w:id="72"/>
      <w:bookmarkEnd w:id="73"/>
      <w:r>
        <w:rPr>
          <w:rStyle w:val="18"/>
          <w:rFonts w:ascii="黑体" w:hAnsi="黑体" w:eastAsia="黑体"/>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2020年一般公共预算财政拨款基本支出344.93万元，其中：</w:t>
      </w:r>
    </w:p>
    <w:p>
      <w:pPr>
        <w:spacing w:line="600" w:lineRule="exact"/>
        <w:ind w:firstLine="645"/>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人员经费313.76万元，主要包括：基本工资、津贴补贴、绩效工资、机关事业单位基本养老保险缴费、其他社会保障缴费、其他工资福利支出、生活补助、住房公积金、其他对个人和家庭的补助支出等。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31.18万元，主要包括：办公费、印刷费、咨询费、手续费、水费、电费、邮电费、物业管理费、差旅费、会议费、培训费、公务接待费、劳务费、委托业务费、工会经费、福利费、公务用车运行维护费、其他交通费、其他商品和服务支出等。</w:t>
      </w:r>
    </w:p>
    <w:p>
      <w:pPr>
        <w:spacing w:line="600" w:lineRule="exact"/>
        <w:ind w:firstLine="640"/>
        <w:outlineLvl w:val="1"/>
        <w:rPr>
          <w:rStyle w:val="18"/>
          <w:rFonts w:ascii="黑体" w:hAnsi="黑体" w:eastAsia="黑体"/>
          <w:b w:val="0"/>
        </w:rPr>
      </w:pPr>
      <w:bookmarkStart w:id="74" w:name="_Toc12616"/>
      <w:bookmarkStart w:id="75" w:name="_Toc15396609"/>
      <w:bookmarkStart w:id="76" w:name="_Toc4575"/>
      <w:bookmarkStart w:id="77" w:name="_Toc15377215"/>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74"/>
      <w:bookmarkEnd w:id="75"/>
      <w:bookmarkEnd w:id="76"/>
      <w:bookmarkEnd w:id="77"/>
    </w:p>
    <w:p>
      <w:pPr>
        <w:spacing w:line="600" w:lineRule="exact"/>
        <w:ind w:firstLine="640"/>
        <w:outlineLvl w:val="2"/>
        <w:rPr>
          <w:rFonts w:ascii="仿宋" w:hAnsi="仿宋" w:eastAsia="仿宋"/>
          <w:b/>
          <w:color w:val="000000"/>
          <w:sz w:val="32"/>
          <w:szCs w:val="32"/>
        </w:rPr>
      </w:pPr>
      <w:bookmarkStart w:id="78" w:name="_Toc15377216"/>
      <w:r>
        <w:rPr>
          <w:rFonts w:hint="eastAsia" w:ascii="仿宋" w:hAnsi="仿宋" w:eastAsia="仿宋"/>
          <w:b/>
          <w:color w:val="000000"/>
          <w:sz w:val="32"/>
          <w:szCs w:val="32"/>
        </w:rPr>
        <w:t>（一）“三公”经费财政拨款支出决算总体情况说明</w:t>
      </w:r>
      <w:bookmarkEnd w:id="78"/>
    </w:p>
    <w:p>
      <w:pPr>
        <w:spacing w:line="600" w:lineRule="exact"/>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2020年“三公”经费财政拨款支出决算为0万元，完成预算0%，决算数与预算数持平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主要原因是未</w:t>
      </w:r>
      <w:r>
        <w:rPr>
          <w:rFonts w:hint="eastAsia" w:ascii="仿宋_GB2312" w:hAnsi="仿宋_GB2312" w:eastAsia="仿宋_GB2312" w:cs="仿宋_GB2312"/>
          <w:color w:val="000000"/>
          <w:sz w:val="32"/>
          <w:szCs w:val="32"/>
          <w:lang w:eastAsia="zh-CN"/>
        </w:rPr>
        <w:t>安排预算，无实际发生</w:t>
      </w:r>
      <w:r>
        <w:rPr>
          <w:rFonts w:hint="eastAsia" w:ascii="仿宋_GB2312" w:hAnsi="仿宋_GB2312" w:eastAsia="仿宋_GB2312" w:cs="仿宋_GB2312"/>
          <w:color w:val="000000"/>
          <w:sz w:val="32"/>
          <w:szCs w:val="32"/>
        </w:rPr>
        <w:t>公务接待</w:t>
      </w:r>
      <w:r>
        <w:rPr>
          <w:rFonts w:hint="eastAsia" w:ascii="仿宋_GB2312" w:hAnsi="仿宋_GB2312" w:eastAsia="仿宋_GB2312" w:cs="仿宋_GB2312"/>
          <w:color w:val="000000"/>
          <w:sz w:val="32"/>
          <w:szCs w:val="32"/>
          <w:lang w:eastAsia="zh-CN"/>
        </w:rPr>
        <w:t>，无公务用车，无因公出国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2019年三公经费未安排预算，无实际发生，2020年</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2019年比无变化。</w:t>
      </w:r>
    </w:p>
    <w:p>
      <w:pPr>
        <w:spacing w:line="600" w:lineRule="exact"/>
        <w:ind w:firstLine="640"/>
        <w:outlineLvl w:val="2"/>
        <w:rPr>
          <w:rFonts w:ascii="仿宋" w:hAnsi="仿宋" w:eastAsia="仿宋"/>
          <w:b/>
          <w:color w:val="000000"/>
          <w:sz w:val="32"/>
          <w:szCs w:val="32"/>
        </w:rPr>
      </w:pPr>
      <w:bookmarkStart w:id="79" w:name="_Toc15377217"/>
      <w:r>
        <w:rPr>
          <w:rFonts w:hint="eastAsia" w:ascii="仿宋" w:hAnsi="仿宋" w:eastAsia="仿宋"/>
          <w:b/>
          <w:color w:val="000000"/>
          <w:sz w:val="32"/>
          <w:szCs w:val="32"/>
        </w:rPr>
        <w:t>（二）“三公”经费财政拨款支出决算具体情况说明</w:t>
      </w:r>
      <w:bookmarkEnd w:id="79"/>
    </w:p>
    <w:p>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2020年“三公”经费财政拨款支出决算中，因公出国（境）费支出决算0万元，占0%；公务用车购置及运行维护费支出决算0万元，占0%；公务接待费支出决算0万元，占0%。</w:t>
      </w:r>
      <w:r>
        <w:rPr>
          <w:rFonts w:hint="eastAsia" w:ascii="仿宋_GB2312" w:hAnsi="仿宋_GB2312" w:eastAsia="仿宋_GB2312" w:cs="仿宋_GB2312"/>
          <w:color w:val="000000"/>
          <w:sz w:val="32"/>
          <w:szCs w:val="32"/>
          <w:lang w:val="en-US" w:eastAsia="zh-CN"/>
        </w:rPr>
        <w:t xml:space="preserve"> </w:t>
      </w:r>
    </w:p>
    <w:p>
      <w:pPr>
        <w:spacing w:line="600" w:lineRule="exact"/>
        <w:ind w:firstLine="640"/>
        <w:rPr>
          <w:rFonts w:hint="eastAsia" w:ascii="仿宋_GB2312" w:hAnsi="仿宋_GB2312" w:eastAsia="仿宋_GB2312" w:cs="仿宋_GB2312"/>
          <w:color w:val="000000"/>
          <w:sz w:val="32"/>
          <w:szCs w:val="32"/>
        </w:rPr>
      </w:pPr>
      <w:bookmarkStart w:id="149" w:name="_GoBack"/>
      <w:bookmarkEnd w:id="149"/>
      <w:r>
        <w:rPr>
          <w:rFonts w:hint="eastAsia" w:ascii="仿宋_GB2312" w:hAnsi="仿宋_GB2312" w:eastAsia="仿宋_GB2312" w:cs="仿宋_GB2312"/>
          <w:color w:val="000000"/>
          <w:sz w:val="32"/>
          <w:szCs w:val="32"/>
          <w:lang w:val="en-US" w:eastAsia="zh-CN"/>
        </w:rPr>
        <w:t>2019</w:t>
      </w:r>
      <w:r>
        <w:rPr>
          <w:rFonts w:hint="eastAsia" w:ascii="仿宋_GB2312" w:hAnsi="仿宋_GB2312" w:eastAsia="仿宋_GB2312" w:cs="仿宋_GB2312"/>
          <w:color w:val="000000"/>
          <w:sz w:val="32"/>
          <w:szCs w:val="32"/>
        </w:rPr>
        <w:t>年“三公”经费财政拨款支出决算中，因公出国（境）费支出决算0万元，占0%；公务用车购置及运行维护费支出决算0万元，占0%；公务接待费支出决算0万元，占0%</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2020年与2019年比无变化。</w:t>
      </w:r>
    </w:p>
    <w:p>
      <w:pPr>
        <w:spacing w:line="600" w:lineRule="exact"/>
        <w:ind w:firstLine="640"/>
        <w:outlineLvl w:val="1"/>
        <w:rPr>
          <w:rStyle w:val="18"/>
          <w:rFonts w:ascii="黑体" w:hAnsi="黑体" w:eastAsia="黑体"/>
        </w:rPr>
      </w:pPr>
      <w:bookmarkStart w:id="80" w:name="_Toc13346"/>
      <w:bookmarkStart w:id="81" w:name="_Toc18211"/>
      <w:bookmarkStart w:id="82" w:name="_Toc15377218"/>
      <w:bookmarkStart w:id="83" w:name="_Toc15396610"/>
      <w:r>
        <w:rPr>
          <w:rFonts w:hint="eastAsia" w:ascii="黑体" w:eastAsia="黑体"/>
          <w:color w:val="000000"/>
          <w:sz w:val="32"/>
          <w:szCs w:val="32"/>
        </w:rPr>
        <w:t>八、</w:t>
      </w:r>
      <w:r>
        <w:rPr>
          <w:rStyle w:val="18"/>
          <w:rFonts w:hint="eastAsia" w:ascii="黑体" w:hAnsi="黑体" w:eastAsia="黑体"/>
          <w:b w:val="0"/>
        </w:rPr>
        <w:t>政府性基金预算支出决算情况说明</w:t>
      </w:r>
      <w:bookmarkEnd w:id="80"/>
      <w:bookmarkEnd w:id="81"/>
      <w:bookmarkEnd w:id="82"/>
      <w:bookmarkEnd w:id="83"/>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2020年政府性基金预算拨款支出0万元。</w:t>
      </w:r>
    </w:p>
    <w:p>
      <w:pPr>
        <w:spacing w:line="600" w:lineRule="exact"/>
        <w:ind w:firstLine="640" w:firstLineChars="200"/>
        <w:rPr>
          <w:rFonts w:hint="eastAsia"/>
        </w:rPr>
      </w:pPr>
      <w:r>
        <w:rPr>
          <w:rFonts w:hint="eastAsia" w:ascii="仿宋_GB2312" w:eastAsia="仿宋_GB2312" w:cs="仿宋_GB2312"/>
          <w:color w:val="000000"/>
          <w:sz w:val="32"/>
          <w:szCs w:val="32"/>
          <w:lang w:val="en-US" w:eastAsia="zh-CN" w:bidi="ar-SA"/>
        </w:rPr>
        <w:t>2020年本单位未在政府性基金预算拨款安排“三公经费”支出。</w:t>
      </w:r>
    </w:p>
    <w:p>
      <w:pPr>
        <w:numPr>
          <w:ilvl w:val="0"/>
          <w:numId w:val="2"/>
        </w:numPr>
        <w:spacing w:line="600" w:lineRule="exact"/>
        <w:ind w:firstLine="640"/>
        <w:outlineLvl w:val="1"/>
        <w:rPr>
          <w:rStyle w:val="18"/>
          <w:rFonts w:ascii="黑体" w:hAnsi="黑体" w:eastAsia="黑体"/>
          <w:b w:val="0"/>
        </w:rPr>
      </w:pPr>
      <w:bookmarkStart w:id="84" w:name="_Toc15396611"/>
      <w:bookmarkStart w:id="85" w:name="_Toc8287"/>
      <w:bookmarkStart w:id="86" w:name="_Toc15377219"/>
      <w:bookmarkStart w:id="87" w:name="_Toc29026"/>
      <w:r>
        <w:rPr>
          <w:rStyle w:val="18"/>
          <w:rFonts w:hint="eastAsia" w:ascii="黑体" w:hAnsi="黑体" w:eastAsia="黑体"/>
          <w:b w:val="0"/>
        </w:rPr>
        <w:t>国有资本经营预算支出决算情况说明</w:t>
      </w:r>
      <w:bookmarkEnd w:id="84"/>
      <w:bookmarkEnd w:id="85"/>
      <w:bookmarkEnd w:id="86"/>
      <w:bookmarkEnd w:id="87"/>
    </w:p>
    <w:p>
      <w:pPr>
        <w:spacing w:line="600" w:lineRule="exact"/>
        <w:ind w:firstLine="640" w:firstLineChars="200"/>
        <w:rPr>
          <w:rFonts w:hint="eastAsia" w:ascii="仿宋_GB2312" w:hAnsi="仿宋_GB2312" w:eastAsia="仿宋_GB2312" w:cs="仿宋_GB2312"/>
          <w:sz w:val="44"/>
          <w:szCs w:val="44"/>
        </w:rPr>
      </w:pPr>
      <w:r>
        <w:rPr>
          <w:rFonts w:hint="eastAsia" w:ascii="仿宋_GB2312" w:hAnsi="仿宋_GB2312" w:eastAsia="仿宋_GB2312" w:cs="仿宋_GB2312"/>
          <w:color w:val="000000"/>
          <w:sz w:val="32"/>
          <w:szCs w:val="32"/>
        </w:rPr>
        <w:t>2020年国有资本经营预算拨款支出0万元。</w:t>
      </w:r>
    </w:p>
    <w:p>
      <w:pPr>
        <w:spacing w:line="600" w:lineRule="exact"/>
        <w:ind w:firstLine="640" w:firstLineChars="200"/>
        <w:outlineLvl w:val="1"/>
        <w:rPr>
          <w:rStyle w:val="18"/>
          <w:rFonts w:ascii="黑体" w:hAnsi="黑体" w:eastAsia="黑体"/>
        </w:rPr>
      </w:pPr>
      <w:bookmarkStart w:id="88" w:name="_Toc15377221"/>
      <w:bookmarkStart w:id="89" w:name="_Toc20406"/>
      <w:bookmarkStart w:id="90" w:name="_Toc1976"/>
      <w:bookmarkStart w:id="91" w:name="_Toc15396612"/>
      <w:r>
        <w:rPr>
          <w:rFonts w:hint="eastAsia" w:ascii="黑体" w:hAnsi="黑体" w:eastAsia="黑体"/>
          <w:color w:val="000000"/>
          <w:sz w:val="32"/>
          <w:szCs w:val="32"/>
        </w:rPr>
        <w:t>十</w:t>
      </w:r>
      <w:r>
        <w:rPr>
          <w:rStyle w:val="18"/>
          <w:rFonts w:hint="eastAsia" w:ascii="黑体" w:hAnsi="黑体" w:eastAsia="黑体"/>
        </w:rPr>
        <w:t>、</w:t>
      </w:r>
      <w:r>
        <w:rPr>
          <w:rStyle w:val="18"/>
          <w:rFonts w:hint="eastAsia" w:ascii="黑体" w:hAnsi="黑体" w:eastAsia="黑体"/>
          <w:b w:val="0"/>
        </w:rPr>
        <w:t>其他重要事项的情况说明</w:t>
      </w:r>
      <w:bookmarkEnd w:id="88"/>
      <w:bookmarkEnd w:id="89"/>
      <w:bookmarkEnd w:id="90"/>
      <w:bookmarkEnd w:id="91"/>
    </w:p>
    <w:p>
      <w:pPr>
        <w:spacing w:line="600" w:lineRule="exact"/>
        <w:ind w:firstLine="642" w:firstLineChars="200"/>
        <w:outlineLvl w:val="2"/>
        <w:rPr>
          <w:rFonts w:ascii="仿宋" w:hAnsi="仿宋" w:eastAsia="仿宋"/>
          <w:color w:val="000000"/>
          <w:sz w:val="32"/>
          <w:szCs w:val="32"/>
        </w:rPr>
      </w:pPr>
      <w:bookmarkStart w:id="92" w:name="_Toc15377222"/>
      <w:r>
        <w:rPr>
          <w:rFonts w:hint="eastAsia" w:ascii="仿宋" w:hAnsi="仿宋" w:eastAsia="仿宋"/>
          <w:b/>
          <w:color w:val="000000"/>
          <w:sz w:val="32"/>
          <w:szCs w:val="32"/>
        </w:rPr>
        <w:t>（一）机关运行经费支出情况</w:t>
      </w:r>
      <w:bookmarkEnd w:id="92"/>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2020年运行经费支出0万元，与2019年决算数持平，主要原因是广元市房地产管理处属于财政全额拨款事业单位，不属于行政单位和参公单位。</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3" w:name="_Toc15377223"/>
      <w:r>
        <w:rPr>
          <w:rFonts w:hint="eastAsia" w:ascii="仿宋" w:hAnsi="仿宋" w:eastAsia="仿宋"/>
          <w:b/>
          <w:color w:val="000000"/>
          <w:sz w:val="32"/>
          <w:szCs w:val="32"/>
        </w:rPr>
        <w:t>（二）政府采购支出情况</w:t>
      </w:r>
      <w:bookmarkEnd w:id="93"/>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2020年政府采购支出总额0万元。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4" w:name="_Toc15377224"/>
      <w:r>
        <w:rPr>
          <w:rFonts w:hint="eastAsia" w:ascii="仿宋" w:hAnsi="仿宋" w:eastAsia="仿宋"/>
          <w:b/>
          <w:color w:val="000000"/>
          <w:sz w:val="32"/>
          <w:szCs w:val="32"/>
        </w:rPr>
        <w:t>（三）国有资产占有使用情况</w:t>
      </w:r>
      <w:bookmarkEnd w:id="94"/>
    </w:p>
    <w:p>
      <w:pPr>
        <w:autoSpaceDE w:val="0"/>
        <w:autoSpaceDN w:val="0"/>
        <w:adjustRightInd w:val="0"/>
        <w:spacing w:line="600" w:lineRule="exact"/>
        <w:ind w:firstLine="640" w:firstLineChars="200"/>
        <w:jc w:val="left"/>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截至2020年12月31日，广元市房地产管理处共有车辆0辆。</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根据预算绩效管理要求，</w:t>
      </w:r>
      <w:r>
        <w:rPr>
          <w:rFonts w:hint="eastAsia" w:ascii="仿宋_GB2312" w:hAnsi="仿宋_GB2312" w:eastAsia="仿宋_GB2312" w:cs="仿宋_GB2312"/>
          <w:kern w:val="0"/>
          <w:sz w:val="32"/>
          <w:szCs w:val="32"/>
        </w:rPr>
        <w:t>本部门开展的项目不属于重点建设项目，因此不需要开展预算事前绩效评估。按照工作要求，自行组织对“房产交易信息运维服务”项目编制了绩效目标，开展绩效监控和绩效目标完成情况梳理填报，从评价情况来看，总体绩效运行情况良好，确保了房地产交易信息系统稳定、安全、有序运行。</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按要求对2020年部门整体支出开展绩效自评，从评价情况来看合理编制了计划、当年要完成的工作任务和预期要完成的绩效目标。项目绩效目标进一步明确和量化，包括数量、质量、成本、时效、社会效益、满意度等能较完整细致地反映部门年度预算执行情况及职责履行情况。项目实施中，加强项目实施监控，严肃财政纪律，规范财务管理，没有违纪违规情况，做到了资金专款专用。</w:t>
      </w:r>
    </w:p>
    <w:p>
      <w:pPr>
        <w:numPr>
          <w:ilvl w:val="0"/>
          <w:numId w:val="0"/>
        </w:numPr>
        <w:spacing w:line="580" w:lineRule="exact"/>
        <w:ind w:firstLine="642" w:firstLineChars="200"/>
        <w:rPr>
          <w:rFonts w:hint="eastAsia" w:ascii="仿宋" w:hAnsi="仿宋" w:eastAsia="仿宋"/>
          <w:b/>
          <w:bCs/>
          <w:color w:val="000000"/>
          <w:sz w:val="32"/>
          <w:szCs w:val="32"/>
        </w:rPr>
      </w:pPr>
      <w:r>
        <w:rPr>
          <w:rFonts w:hint="eastAsia" w:ascii="仿宋" w:hAnsi="仿宋" w:eastAsia="仿宋"/>
          <w:b/>
          <w:bCs/>
          <w:color w:val="000000"/>
          <w:sz w:val="32"/>
          <w:szCs w:val="32"/>
          <w:lang w:val="en-US" w:eastAsia="zh-CN"/>
        </w:rPr>
        <w:t>1.</w:t>
      </w:r>
      <w:r>
        <w:rPr>
          <w:rFonts w:hint="eastAsia" w:ascii="仿宋" w:hAnsi="仿宋" w:eastAsia="仿宋"/>
          <w:b/>
          <w:bCs/>
          <w:color w:val="000000"/>
          <w:sz w:val="32"/>
          <w:szCs w:val="32"/>
        </w:rPr>
        <w:t>项目绩效目标完成情况。</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房产交易信息运维服务</w:t>
      </w:r>
      <w:r>
        <w:rPr>
          <w:rFonts w:hint="eastAsia" w:ascii="仿宋_GB2312" w:hAnsi="仿宋_GB2312" w:eastAsia="仿宋_GB2312" w:cs="仿宋_GB2312"/>
          <w:color w:val="000000"/>
          <w:sz w:val="32"/>
          <w:szCs w:val="32"/>
        </w:rPr>
        <w:t>项目绩效目标完成：全年预算数1.5万元，执行数为1.5万元，完成预算的100%，</w:t>
      </w:r>
      <w:r>
        <w:rPr>
          <w:rFonts w:hint="eastAsia" w:ascii="仿宋_GB2312" w:hAnsi="仿宋_GB2312" w:eastAsia="仿宋_GB2312" w:cs="仿宋_GB2312"/>
          <w:kern w:val="0"/>
          <w:sz w:val="32"/>
          <w:szCs w:val="32"/>
        </w:rPr>
        <w:t xml:space="preserve"> 切实保障了房地产交易信息系统有序运行。</w:t>
      </w: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386"/>
        <w:gridCol w:w="2031"/>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31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68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房产交易信息运维服务</w:t>
            </w:r>
          </w:p>
        </w:tc>
      </w:tr>
      <w:tr>
        <w:tblPrEx>
          <w:tblCellMar>
            <w:top w:w="0" w:type="dxa"/>
            <w:left w:w="0" w:type="dxa"/>
            <w:bottom w:w="0" w:type="dxa"/>
            <w:right w:w="0" w:type="dxa"/>
          </w:tblCellMar>
        </w:tblPrEx>
        <w:trPr>
          <w:trHeight w:val="276" w:hRule="atLeast"/>
          <w:jc w:val="center"/>
        </w:trPr>
        <w:tc>
          <w:tcPr>
            <w:tcW w:w="31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68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广元市房地产管理处</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7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7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7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按要求提供房产交易信息系统软件及硬件运维服务，确保资金安全、使用方便。</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按要求提供房产交易信息系统软件及硬件运维服务，确保资金安全、使用方便。</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房产交易信息运维服务</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1.5万元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1.5万元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按照要求进行网络化管理资金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确保资金安全、使用方便</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确保资金安全、使用方便</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社会效益</w:t>
            </w:r>
          </w:p>
          <w:p>
            <w:pPr>
              <w:widowControl/>
              <w:jc w:val="center"/>
              <w:textAlignment w:val="center"/>
              <w:rPr>
                <w:rFonts w:ascii="宋体" w:cs="宋体"/>
                <w:color w:val="000000"/>
                <w:sz w:val="24"/>
              </w:rPr>
            </w:pPr>
            <w:r>
              <w:rPr>
                <w:rFonts w:hint="eastAsia" w:ascii="宋体" w:cs="宋体"/>
                <w:color w:val="000000"/>
                <w:sz w:val="24"/>
              </w:rPr>
              <w:t>指标</w:t>
            </w:r>
          </w:p>
        </w:tc>
        <w:tc>
          <w:tcPr>
            <w:tcW w:w="2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住宅专项维修资金专户存储、专款专用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提高信息化服务水平、公开透明</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提高信息化服务水平、公开透明</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物业小区满意度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w:t>
            </w:r>
          </w:p>
        </w:tc>
      </w:tr>
    </w:tbl>
    <w:p>
      <w:pPr>
        <w:spacing w:line="580" w:lineRule="exact"/>
        <w:rPr>
          <w:rFonts w:ascii="楷体_GB2312" w:hAnsi="楷体_GB2312" w:eastAsia="楷体_GB2312" w:cs="楷体_GB2312"/>
          <w:sz w:val="32"/>
          <w:szCs w:val="32"/>
        </w:rPr>
      </w:pPr>
    </w:p>
    <w:p>
      <w:pPr>
        <w:spacing w:line="580" w:lineRule="exact"/>
        <w:ind w:firstLine="642" w:firstLineChars="200"/>
        <w:rPr>
          <w:rFonts w:ascii="仿宋_GB2312" w:hAnsi="仿宋_GB2312" w:eastAsia="仿宋_GB2312" w:cs="仿宋_GB2312"/>
          <w:b/>
          <w:bCs/>
          <w:sz w:val="32"/>
          <w:szCs w:val="32"/>
        </w:rPr>
      </w:pPr>
      <w:r>
        <w:rPr>
          <w:rFonts w:ascii="楷体_GB2312" w:hAnsi="楷体_GB2312" w:eastAsia="楷体_GB2312" w:cs="楷体_GB2312"/>
          <w:b/>
          <w:bCs/>
          <w:sz w:val="32"/>
          <w:szCs w:val="32"/>
        </w:rPr>
        <w:t>2.</w:t>
      </w:r>
      <w:r>
        <w:rPr>
          <w:rFonts w:hint="eastAsia" w:ascii="楷体_GB2312" w:hAnsi="楷体_GB2312" w:eastAsia="楷体_GB2312" w:cs="楷体_GB2312"/>
          <w:b/>
          <w:bCs/>
          <w:sz w:val="32"/>
          <w:szCs w:val="32"/>
        </w:rPr>
        <w:t>部门绩效评价结果。</w:t>
      </w:r>
    </w:p>
    <w:p>
      <w:pPr>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本部门按要求对2020年部门整体支出绩效评价情况开展自评，《广元市房地产2020年部门整体支出绩效评价报告》见附件（附件1）</w:t>
      </w:r>
      <w:r>
        <w:rPr>
          <w:rFonts w:hint="eastAsia" w:ascii="仿宋_GB2312" w:hAnsi="仿宋_GB2312" w:eastAsia="仿宋_GB2312" w:cs="仿宋_GB2312"/>
          <w:color w:val="000000"/>
          <w:sz w:val="32"/>
          <w:szCs w:val="32"/>
          <w:lang w:eastAsia="zh-CN"/>
        </w:rPr>
        <w:t>。</w:t>
      </w:r>
    </w:p>
    <w:p>
      <w:pPr>
        <w:pStyle w:val="2"/>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本部门自行组织对“房产交易信息运维服务”项目开展了绩效评价，评价报告见附件2</w:t>
      </w:r>
      <w:r>
        <w:rPr>
          <w:rFonts w:hint="eastAsia" w:ascii="仿宋_GB2312" w:hAnsi="仿宋_GB2312" w:eastAsia="仿宋_GB2312" w:cs="仿宋_GB2312"/>
          <w:color w:val="000000"/>
          <w:sz w:val="32"/>
          <w:szCs w:val="32"/>
        </w:rPr>
        <w:t>。</w:t>
      </w: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rPr>
      </w:pPr>
    </w:p>
    <w:p>
      <w:pPr>
        <w:pStyle w:val="2"/>
        <w:ind w:firstLine="640" w:firstLineChars="200"/>
        <w:rPr>
          <w:rFonts w:hint="eastAsia" w:ascii="仿宋_GB2312" w:hAnsi="仿宋_GB2312" w:eastAsia="仿宋_GB2312" w:cs="仿宋_GB2312"/>
          <w:color w:val="000000"/>
          <w:sz w:val="32"/>
          <w:szCs w:val="32"/>
          <w:lang w:val="en-US" w:eastAsia="zh-CN"/>
        </w:rPr>
      </w:pPr>
    </w:p>
    <w:p>
      <w:pPr>
        <w:numPr>
          <w:ilvl w:val="0"/>
          <w:numId w:val="3"/>
        </w:numPr>
        <w:spacing w:line="600" w:lineRule="exact"/>
        <w:ind w:firstLine="660" w:firstLineChars="150"/>
        <w:jc w:val="center"/>
        <w:outlineLvl w:val="0"/>
        <w:rPr>
          <w:rStyle w:val="17"/>
          <w:rFonts w:ascii="黑体" w:hAnsi="黑体" w:eastAsia="黑体"/>
          <w:b w:val="0"/>
        </w:rPr>
      </w:pPr>
      <w:bookmarkStart w:id="95" w:name="_Toc11837"/>
      <w:bookmarkStart w:id="96" w:name="_Toc15396613"/>
      <w:bookmarkStart w:id="97" w:name="_Toc15377225"/>
      <w:bookmarkStart w:id="98" w:name="_Toc27622"/>
      <w:r>
        <w:rPr>
          <w:rFonts w:hint="eastAsia" w:ascii="黑体" w:hAnsi="黑体" w:eastAsia="黑体"/>
          <w:color w:val="000000"/>
          <w:sz w:val="44"/>
          <w:szCs w:val="44"/>
        </w:rPr>
        <w:t>名</w:t>
      </w:r>
      <w:r>
        <w:rPr>
          <w:rStyle w:val="17"/>
          <w:rFonts w:hint="eastAsia" w:ascii="黑体" w:hAnsi="黑体" w:eastAsia="黑体"/>
          <w:b w:val="0"/>
        </w:rPr>
        <w:t>词解释</w:t>
      </w:r>
      <w:bookmarkEnd w:id="95"/>
      <w:bookmarkEnd w:id="96"/>
      <w:bookmarkEnd w:id="97"/>
      <w:bookmarkEnd w:id="98"/>
    </w:p>
    <w:p>
      <w:pPr>
        <w:spacing w:line="600" w:lineRule="exact"/>
        <w:jc w:val="left"/>
        <w:rPr>
          <w:rFonts w:ascii="宋体"/>
          <w:b/>
          <w:color w:val="000000"/>
          <w:sz w:val="44"/>
          <w:szCs w:val="44"/>
        </w:rPr>
      </w:pPr>
    </w:p>
    <w:p>
      <w:pPr>
        <w:pStyle w:val="29"/>
        <w:spacing w:line="560" w:lineRule="exact"/>
        <w:ind w:firstLine="640" w:firstLineChars="200"/>
        <w:rPr>
          <w:rFonts w:ascii="仿宋_GB2312" w:eastAsia="仿宋_GB2312"/>
          <w:sz w:val="32"/>
          <w:szCs w:val="32"/>
        </w:rPr>
      </w:pPr>
      <w:bookmarkStart w:id="99"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其他收入：指单位取得的除上述收入以外的各项收入。主要是利息收入等。</w:t>
      </w:r>
      <w:r>
        <w:rPr>
          <w:rFonts w:ascii="仿宋_GB2312" w:eastAsia="仿宋_GB2312"/>
          <w:sz w:val="32"/>
          <w:szCs w:val="32"/>
        </w:rPr>
        <w:t xml:space="preserve"> </w:t>
      </w:r>
    </w:p>
    <w:p>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5.</w:t>
      </w:r>
      <w:r>
        <w:rPr>
          <w:rStyle w:val="14"/>
          <w:rFonts w:hint="eastAsia" w:ascii="仿宋_GB2312" w:eastAsia="仿宋_GB2312" w:cs="仿宋_GB2312"/>
          <w:b w:val="0"/>
          <w:color w:val="000000"/>
          <w:sz w:val="32"/>
          <w:szCs w:val="32"/>
        </w:rPr>
        <w:t>社会保障和就业（类）行政事业单位离退休（款）机关事业单位基本养老保险缴费支出（项）</w:t>
      </w:r>
      <w:r>
        <w:rPr>
          <w:rFonts w:hint="eastAsia" w:ascii="仿宋_GB2312" w:eastAsia="仿宋_GB2312" w:cs="仿宋_GB2312"/>
          <w:color w:val="000000"/>
          <w:sz w:val="32"/>
          <w:szCs w:val="32"/>
        </w:rPr>
        <w:t>：指反映机关事业单位实施养老保险制度由单位缴纳的基本养老保险支出。</w:t>
      </w:r>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6.</w:t>
      </w:r>
      <w:r>
        <w:rPr>
          <w:rFonts w:hint="eastAsia" w:ascii="仿宋_GB2312" w:eastAsia="仿宋_GB2312"/>
          <w:color w:val="000000"/>
          <w:sz w:val="32"/>
          <w:szCs w:val="32"/>
        </w:rPr>
        <w:t>医疗卫生与计划生育</w:t>
      </w:r>
      <w:r>
        <w:rPr>
          <w:rStyle w:val="14"/>
          <w:rFonts w:hint="eastAsia" w:ascii="仿宋_GB2312" w:eastAsia="仿宋_GB2312" w:cs="仿宋_GB2312"/>
          <w:b w:val="0"/>
          <w:color w:val="000000"/>
          <w:sz w:val="32"/>
          <w:szCs w:val="32"/>
        </w:rPr>
        <w:t>（类）行政事业单位医疗（款）事业单位医疗（项）</w:t>
      </w:r>
      <w:r>
        <w:rPr>
          <w:rFonts w:hint="eastAsia" w:ascii="仿宋_GB2312" w:eastAsia="仿宋_GB2312" w:cs="仿宋_GB2312"/>
          <w:color w:val="000000"/>
          <w:sz w:val="32"/>
          <w:szCs w:val="32"/>
        </w:rPr>
        <w:t>：指反映财政部门集中安排的事业单位基本医疗保险缴费经费，未参加医疗保险的事业单位的公费医疗经费，按国家规定享受离休人员待遇的医疗经费。</w:t>
      </w:r>
    </w:p>
    <w:p>
      <w:pPr>
        <w:spacing w:line="576" w:lineRule="exact"/>
        <w:ind w:firstLine="640" w:firstLineChars="200"/>
        <w:rPr>
          <w:rStyle w:val="14"/>
          <w:rFonts w:hint="eastAsia" w:ascii="仿宋_GB2312" w:hAnsi="仿宋_GB2312" w:eastAsia="仿宋_GB2312" w:cs="仿宋_GB2312"/>
          <w:b w:val="0"/>
          <w:sz w:val="32"/>
          <w:szCs w:val="32"/>
        </w:rPr>
      </w:pPr>
      <w:r>
        <w:rPr>
          <w:rStyle w:val="14"/>
          <w:rFonts w:hint="eastAsia" w:ascii="仿宋_GB2312" w:eastAsia="仿宋_GB2312" w:cs="仿宋_GB2312"/>
          <w:b w:val="0"/>
          <w:sz w:val="32"/>
          <w:szCs w:val="32"/>
        </w:rPr>
        <w:t>7.城乡社区</w:t>
      </w:r>
      <w:r>
        <w:rPr>
          <w:rStyle w:val="14"/>
          <w:rFonts w:hint="eastAsia" w:ascii="仿宋_GB2312" w:eastAsia="仿宋_GB2312" w:cs="仿宋_GB2312"/>
          <w:b w:val="0"/>
          <w:color w:val="000000"/>
          <w:sz w:val="32"/>
          <w:szCs w:val="32"/>
        </w:rPr>
        <w:t>（类）城乡社区管理</w:t>
      </w:r>
      <w:r>
        <w:rPr>
          <w:rStyle w:val="14"/>
          <w:rFonts w:hint="eastAsia" w:ascii="仿宋_GB2312" w:hAnsi="仿宋_GB2312" w:eastAsia="仿宋_GB2312" w:cs="仿宋_GB2312"/>
          <w:b w:val="0"/>
          <w:color w:val="000000"/>
          <w:sz w:val="32"/>
          <w:szCs w:val="32"/>
        </w:rPr>
        <w:t>事务</w:t>
      </w:r>
      <w:r>
        <w:rPr>
          <w:rStyle w:val="14"/>
          <w:rFonts w:hint="eastAsia" w:ascii="仿宋_GB2312" w:hAnsi="仿宋_GB2312" w:eastAsia="仿宋_GB2312" w:cs="仿宋_GB2312"/>
          <w:b w:val="0"/>
          <w:sz w:val="32"/>
          <w:szCs w:val="32"/>
        </w:rPr>
        <w:t>（款)住宅建设与房地产市场监管（项）：指反映调控房地产市场市场运行、研究拟定城镇住房制度改革法规、对住房公积金和其他房改资金进行政策指导并监督使用等方面的支出。</w:t>
      </w:r>
    </w:p>
    <w:p>
      <w:pPr>
        <w:spacing w:line="576" w:lineRule="exact"/>
        <w:ind w:firstLine="640" w:firstLineChars="200"/>
        <w:rPr>
          <w:rFonts w:ascii="仿宋_GB2312" w:eastAsia="仿宋_GB2312"/>
          <w:color w:val="000000"/>
          <w:sz w:val="32"/>
          <w:szCs w:val="32"/>
        </w:rPr>
      </w:pPr>
      <w:r>
        <w:rPr>
          <w:rStyle w:val="14"/>
          <w:rFonts w:hint="eastAsia" w:ascii="仿宋_GB2312" w:eastAsia="仿宋_GB2312" w:cs="仿宋_GB2312"/>
          <w:b w:val="0"/>
          <w:sz w:val="32"/>
          <w:szCs w:val="32"/>
        </w:rPr>
        <w:t>8.住房保障</w:t>
      </w:r>
      <w:r>
        <w:rPr>
          <w:rStyle w:val="14"/>
          <w:rFonts w:hint="eastAsia" w:ascii="仿宋_GB2312" w:eastAsia="仿宋_GB2312" w:cs="仿宋_GB2312"/>
          <w:b w:val="0"/>
          <w:color w:val="000000"/>
          <w:sz w:val="32"/>
          <w:szCs w:val="32"/>
        </w:rPr>
        <w:t>（类）住房改革支出（款）住房公积金（项）</w:t>
      </w:r>
      <w:r>
        <w:rPr>
          <w:rFonts w:hint="eastAsia" w:ascii="仿宋_GB2312" w:eastAsia="仿宋_GB2312" w:cs="仿宋_GB2312"/>
          <w:color w:val="000000"/>
          <w:sz w:val="32"/>
          <w:szCs w:val="32"/>
        </w:rPr>
        <w:t>：指反映行政事业单位按人力资源和社会保障部、财政部规定的基本工资和津贴补贴以及规定比例为职工缴纳住房公积金。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r>
        <w:rPr>
          <w:rFonts w:ascii="仿宋_GB2312" w:eastAsia="仿宋_GB2312"/>
          <w:color w:val="000000"/>
          <w:sz w:val="32"/>
          <w:szCs w:val="32"/>
        </w:rPr>
        <w:t xml:space="preserve"> </w:t>
      </w:r>
    </w:p>
    <w:p>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ascii="仿宋_GB2312" w:eastAsia="仿宋_GB2312" w:cs="黑体"/>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17"/>
          <w:rFonts w:ascii="黑体" w:hAnsi="黑体" w:eastAsia="黑体"/>
          <w:b w:val="0"/>
        </w:rPr>
      </w:pPr>
      <w:r>
        <w:rPr>
          <w:rFonts w:ascii="宋体"/>
          <w:b/>
          <w:color w:val="000000"/>
          <w:sz w:val="44"/>
          <w:szCs w:val="44"/>
        </w:rPr>
        <w:br w:type="page"/>
      </w:r>
      <w:bookmarkStart w:id="100" w:name="_Toc13298"/>
      <w:bookmarkStart w:id="101" w:name="_Toc15396614"/>
      <w:bookmarkStart w:id="102" w:name="_Toc21887"/>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100"/>
      <w:bookmarkEnd w:id="101"/>
      <w:bookmarkEnd w:id="102"/>
    </w:p>
    <w:p>
      <w:pPr>
        <w:spacing w:line="600" w:lineRule="exact"/>
        <w:jc w:val="left"/>
        <w:outlineLvl w:val="0"/>
        <w:rPr>
          <w:rFonts w:ascii="方正小标宋简体" w:hAnsi="方正小标宋简体" w:eastAsia="方正小标宋简体" w:cs="方正小标宋简体"/>
          <w:sz w:val="32"/>
          <w:szCs w:val="32"/>
        </w:rPr>
      </w:pPr>
      <w:bookmarkStart w:id="103" w:name="_Toc29500"/>
      <w:bookmarkStart w:id="104" w:name="_Toc18984"/>
      <w:r>
        <w:rPr>
          <w:rFonts w:hint="eastAsia" w:ascii="黑体" w:hAnsi="黑体" w:eastAsia="黑体" w:cs="黑体"/>
          <w:sz w:val="32"/>
          <w:szCs w:val="32"/>
        </w:rPr>
        <w:t>附件</w:t>
      </w:r>
      <w:r>
        <w:rPr>
          <w:rFonts w:ascii="黑体" w:hAnsi="黑体" w:eastAsia="黑体" w:cs="黑体"/>
          <w:sz w:val="32"/>
          <w:szCs w:val="32"/>
        </w:rPr>
        <w:t>1</w:t>
      </w:r>
      <w:bookmarkEnd w:id="103"/>
      <w:bookmarkEnd w:id="10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广元市房地产管理处</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pPr>
        <w:spacing w:line="576"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（一）机构组成。</w:t>
      </w:r>
    </w:p>
    <w:p>
      <w:pPr>
        <w:spacing w:line="576" w:lineRule="exact"/>
        <w:ind w:firstLine="640" w:firstLineChars="200"/>
        <w:rPr>
          <w:rFonts w:hint="eastAsia" w:ascii="仿宋_GB2312" w:hAnsi="仿宋_GB2312" w:eastAsia="仿宋_GB2312" w:cs="仿宋_GB2312"/>
          <w:lang w:val="zh-CN"/>
        </w:rPr>
      </w:pPr>
      <w:r>
        <w:rPr>
          <w:rFonts w:hint="eastAsia" w:ascii="仿宋_GB2312" w:hAnsi="仿宋_GB2312" w:eastAsia="仿宋_GB2312" w:cs="仿宋_GB2312"/>
          <w:kern w:val="0"/>
          <w:sz w:val="32"/>
          <w:szCs w:val="32"/>
        </w:rPr>
        <w:t>广元市房地产管理处是财政全额拨款事业单位，无下属单位。</w:t>
      </w:r>
      <w:r>
        <w:rPr>
          <w:rFonts w:hint="eastAsia" w:ascii="仿宋_GB2312" w:hAnsi="仿宋_GB2312" w:eastAsia="仿宋_GB2312" w:cs="仿宋_GB2312"/>
          <w:sz w:val="32"/>
          <w:szCs w:val="32"/>
        </w:rPr>
        <w:t>内设科室分别为：综合科、住房保障事务科、房地产市场服务科、房屋安全事务科、房屋征收事务科、物业服务科、村镇建设事务科。</w:t>
      </w:r>
    </w:p>
    <w:p>
      <w:pPr>
        <w:spacing w:line="576" w:lineRule="exact"/>
        <w:ind w:firstLine="642" w:firstLineChars="20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（二）机构职能。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1.贯彻执行国家、省、市有关住房保障和房地产市场相关法律、法规及政策、制度。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2.承担编制保障性住房发展规划、房地产中长期规划、</w:t>
      </w:r>
      <w:r>
        <w:rPr>
          <w:rFonts w:hint="eastAsia" w:ascii="仿宋_GB2312" w:hAnsi="仿宋_GB2312" w:eastAsia="仿宋_GB2312" w:cs="仿宋_GB2312"/>
          <w:sz w:val="32"/>
          <w:szCs w:val="32"/>
          <w:lang w:eastAsia="zh-CN"/>
        </w:rPr>
        <w:t>棚</w:t>
      </w:r>
      <w:r>
        <w:rPr>
          <w:rFonts w:hint="eastAsia" w:ascii="仿宋_GB2312" w:hAnsi="仿宋_GB2312" w:eastAsia="仿宋_GB2312" w:cs="仿宋_GB2312"/>
          <w:sz w:val="32"/>
          <w:szCs w:val="32"/>
        </w:rPr>
        <w:t>户区改造计划相关工作。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房地产企业、房地产中介机构及从业人员的信用信息、企业及人员库、统计数据的建立及管理，承担房地产企业、房地产中介机构行业规范事务工作。负责预售商品房、存量商品房的合同网签备案，承担房地产交易档案、数据及信息化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4.负责物业服务企业及从业人员的信用信息、住宅专项</w:t>
      </w:r>
      <w:r>
        <w:rPr>
          <w:rFonts w:hint="eastAsia" w:ascii="仿宋_GB2312" w:hAnsi="仿宋_GB2312" w:eastAsia="仿宋_GB2312" w:cs="仿宋_GB2312"/>
          <w:sz w:val="32"/>
          <w:szCs w:val="32"/>
          <w:lang w:eastAsia="zh-CN"/>
        </w:rPr>
        <w:t>维</w:t>
      </w:r>
      <w:r>
        <w:rPr>
          <w:rFonts w:hint="eastAsia" w:ascii="仿宋_GB2312" w:hAnsi="仿宋_GB2312" w:eastAsia="仿宋_GB2312" w:cs="仿宋_GB2312"/>
          <w:sz w:val="32"/>
          <w:szCs w:val="32"/>
        </w:rPr>
        <w:t>修资金的归集及使用相关事务工作。负责城镇老</w:t>
      </w:r>
      <w:r>
        <w:rPr>
          <w:rFonts w:hint="eastAsia" w:ascii="仿宋_GB2312" w:hAnsi="仿宋_GB2312" w:eastAsia="仿宋_GB2312" w:cs="仿宋_GB2312"/>
          <w:sz w:val="32"/>
          <w:szCs w:val="32"/>
          <w:lang w:eastAsia="zh-CN"/>
        </w:rPr>
        <w:t>旧</w:t>
      </w:r>
      <w:r>
        <w:rPr>
          <w:rFonts w:hint="eastAsia" w:ascii="仿宋_GB2312" w:hAnsi="仿宋_GB2312" w:eastAsia="仿宋_GB2312" w:cs="仿宋_GB2312"/>
          <w:sz w:val="32"/>
          <w:szCs w:val="32"/>
        </w:rPr>
        <w:t>小区政策</w:t>
      </w:r>
      <w:r>
        <w:rPr>
          <w:rFonts w:hint="eastAsia" w:ascii="仿宋_GB2312" w:hAnsi="仿宋_GB2312" w:eastAsia="仿宋_GB2312" w:cs="仿宋_GB2312"/>
          <w:sz w:val="32"/>
          <w:szCs w:val="32"/>
          <w:lang w:eastAsia="zh-CN"/>
        </w:rPr>
        <w:t>咨询</w:t>
      </w:r>
      <w:r>
        <w:rPr>
          <w:rFonts w:hint="eastAsia" w:ascii="仿宋_GB2312" w:hAnsi="仿宋_GB2312" w:eastAsia="仿宋_GB2312" w:cs="仿宋_GB2312"/>
          <w:sz w:val="32"/>
          <w:szCs w:val="32"/>
        </w:rPr>
        <w:t>指导、协调项目推进、项目库建立工作。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5.承担既有房屋使用安全的指导、组织排查、白蚁防治等工作。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6.承担国有土地房屋征收补偿相关事务工作。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7.负责房屋信息化和房地产市场服务数据统计、情况分析、市场调查、涉房信访相关工作。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统筹推进全市村镇建设。承担指导农村住房建设、农村房屋安全隐患排查、农村危房土坯房改造、村镇建设试点、中心镇建设和历史文化名镇(村)、传统村落、乡土建筑保护相关事务工作。承担促进乡村振兴发展相关事务工作。</w:t>
      </w:r>
    </w:p>
    <w:p>
      <w:pPr>
        <w:ind w:firstLine="640" w:firstLineChars="200"/>
        <w:rPr>
          <w:rFonts w:hint="eastAsia" w:ascii="仿宋_GB2312" w:hAnsi="仿宋_GB2312" w:eastAsia="仿宋_GB2312" w:cs="仿宋_GB2312"/>
          <w:lang w:val="zh-CN"/>
        </w:rPr>
      </w:pPr>
      <w:r>
        <w:rPr>
          <w:rFonts w:hint="eastAsia" w:ascii="仿宋_GB2312" w:hAnsi="仿宋_GB2312" w:eastAsia="仿宋_GB2312" w:cs="仿宋_GB2312"/>
          <w:sz w:val="32"/>
          <w:szCs w:val="32"/>
        </w:rPr>
        <w:t>9.完成市住房城乡建设局交办的其他任务。</w:t>
      </w:r>
    </w:p>
    <w:p>
      <w:pPr>
        <w:spacing w:line="576" w:lineRule="exact"/>
        <w:ind w:firstLine="642" w:firstLineChars="20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（三）人员概况。</w:t>
      </w:r>
    </w:p>
    <w:p>
      <w:pPr>
        <w:pStyle w:val="2"/>
        <w:ind w:firstLine="640" w:firstLineChars="200"/>
        <w:rPr>
          <w:lang w:val="zh-CN"/>
        </w:rPr>
      </w:pPr>
      <w:r>
        <w:rPr>
          <w:rFonts w:hint="eastAsia" w:ascii="仿宋_GB2312" w:hAnsi="仿宋_GB2312" w:eastAsia="仿宋_GB2312" w:cs="仿宋_GB2312"/>
          <w:sz w:val="32"/>
          <w:szCs w:val="32"/>
        </w:rPr>
        <w:t>截止2020年年末，中心编制人数32人，实际在职人数21人。</w:t>
      </w:r>
    </w:p>
    <w:p>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80" w:lineRule="exact"/>
        <w:ind w:firstLine="642"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（一）部门财政资金收入情况。</w:t>
      </w:r>
      <w:r>
        <w:rPr>
          <w:rFonts w:hint="eastAsia" w:ascii="仿宋_GB2312" w:hAnsi="仿宋_GB2312" w:eastAsia="仿宋_GB2312" w:cs="仿宋_GB2312"/>
          <w:sz w:val="32"/>
          <w:szCs w:val="32"/>
        </w:rPr>
        <w:t>2020年年初结转结余71.64万元，本年收入合计274.35万元，其中：一般公共预算财政拨款收入274.35万元，占100%；政府性基金预算财政拨款收入0万元，占0%；其他收入0万元，占0%。</w:t>
      </w:r>
    </w:p>
    <w:p>
      <w:pPr>
        <w:pStyle w:val="2"/>
        <w:rPr>
          <w:lang w:val="zh-CN"/>
        </w:rPr>
      </w:pPr>
    </w:p>
    <w:p>
      <w:pPr>
        <w:widowControl/>
        <w:numPr>
          <w:ilvl w:val="0"/>
          <w:numId w:val="0"/>
        </w:numPr>
        <w:adjustRightInd w:val="0"/>
        <w:snapToGrid w:val="0"/>
        <w:spacing w:line="580" w:lineRule="exact"/>
        <w:ind w:firstLine="642"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（二）部门财政资金支出情况。</w:t>
      </w:r>
      <w:r>
        <w:rPr>
          <w:rFonts w:hint="eastAsia" w:ascii="仿宋_GB2312" w:hAnsi="仿宋_GB2312" w:eastAsia="仿宋_GB2312" w:cs="仿宋_GB2312"/>
          <w:sz w:val="32"/>
          <w:szCs w:val="32"/>
        </w:rPr>
        <w:t>2020年本年支出合计344.94万元，其中：基本支出344.94万元，占100%；项目支出0万元，占0%。</w:t>
      </w:r>
    </w:p>
    <w:p>
      <w:pPr>
        <w:pStyle w:val="2"/>
        <w:rPr>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2" w:firstLineChars="200"/>
        <w:contextualSpacing/>
        <w:jc w:val="left"/>
        <w:rPr>
          <w:rFonts w:hint="eastAsia" w:ascii="仿宋_GB2312" w:hAnsi="仿宋_GB2312" w:eastAsia="仿宋_GB2312" w:cs="仿宋_GB2312"/>
          <w:kern w:val="0"/>
          <w:sz w:val="32"/>
          <w:szCs w:val="32"/>
        </w:rPr>
      </w:pPr>
      <w:r>
        <w:rPr>
          <w:rFonts w:hint="eastAsia" w:ascii="楷体_GB2312" w:hAnsi="楷体_GB2312" w:eastAsia="楷体_GB2312" w:cs="楷体_GB2312"/>
          <w:b/>
          <w:bCs/>
          <w:color w:val="000000"/>
          <w:kern w:val="0"/>
          <w:sz w:val="32"/>
          <w:szCs w:val="32"/>
          <w:shd w:val="clear" w:color="auto" w:fill="FFFFFF"/>
          <w:lang w:val="zh-CN"/>
        </w:rPr>
        <w:t>（一）部门预算管理。</w:t>
      </w:r>
      <w:r>
        <w:rPr>
          <w:rFonts w:hint="eastAsia" w:ascii="仿宋_GB2312" w:hAnsi="仿宋_GB2312" w:eastAsia="仿宋_GB2312" w:cs="仿宋_GB2312"/>
          <w:kern w:val="0"/>
          <w:sz w:val="32"/>
          <w:szCs w:val="32"/>
        </w:rPr>
        <w:t>2020年，本单位认真开展预算编制，及时报送部门预算和项目绩效目标，预算编制完整无漏项，预算编制准确规范。在预算执行过程中规范财务管理，严格按照预算批复执行，强化预算执行的刚性约束，不随意改变财政预算资金的使用范围，严控预算执行进度和经费支出情况，提高资金使用效益。在预算执行过程中未存在违纪违规情况。</w:t>
      </w:r>
    </w:p>
    <w:p>
      <w:pPr>
        <w:widowControl/>
        <w:adjustRightInd w:val="0"/>
        <w:snapToGrid w:val="0"/>
        <w:spacing w:line="580" w:lineRule="exact"/>
        <w:ind w:firstLine="642" w:firstLineChars="200"/>
        <w:contextualSpacing/>
        <w:jc w:val="left"/>
        <w:rPr>
          <w:rFonts w:hint="eastAsia" w:ascii="仿宋_GB2312" w:hAnsi="仿宋_GB2312" w:eastAsia="仿宋_GB2312" w:cs="仿宋_GB2312"/>
          <w:bCs/>
          <w:kern w:val="0"/>
          <w:sz w:val="32"/>
          <w:szCs w:val="32"/>
        </w:rPr>
      </w:pPr>
      <w:r>
        <w:rPr>
          <w:rFonts w:hint="eastAsia" w:ascii="楷体_GB2312" w:hAnsi="楷体_GB2312" w:eastAsia="楷体_GB2312" w:cs="楷体_GB2312"/>
          <w:b/>
          <w:bCs/>
          <w:color w:val="000000"/>
          <w:kern w:val="0"/>
          <w:sz w:val="32"/>
          <w:szCs w:val="32"/>
          <w:shd w:val="clear" w:color="auto" w:fill="FFFFFF"/>
          <w:lang w:val="zh-CN"/>
        </w:rPr>
        <w:t>（二）结果应用情况。</w:t>
      </w:r>
      <w:r>
        <w:rPr>
          <w:rFonts w:hint="eastAsia" w:ascii="仿宋_GB2312" w:hAnsi="仿宋_GB2312" w:eastAsia="仿宋_GB2312" w:cs="仿宋_GB2312"/>
          <w:kern w:val="0"/>
          <w:sz w:val="32"/>
          <w:szCs w:val="32"/>
        </w:rPr>
        <w:t>通过强化预算编制和执行，规范项目实施。</w:t>
      </w:r>
      <w:r>
        <w:rPr>
          <w:rFonts w:hint="eastAsia" w:ascii="仿宋_GB2312" w:hAnsi="仿宋_GB2312" w:eastAsia="仿宋_GB2312" w:cs="仿宋_GB2312"/>
          <w:sz w:val="32"/>
          <w:szCs w:val="32"/>
        </w:rPr>
        <w:t>全面完成各项目标任务，房地产市场始终保持平稳健康发展势头。</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2" w:firstLineChars="200"/>
        <w:contextualSpacing/>
        <w:jc w:val="left"/>
        <w:rPr>
          <w:rFonts w:hint="eastAsia" w:ascii="仿宋_GB2312" w:hAnsi="仿宋_GB2312" w:eastAsia="仿宋_GB2312" w:cs="仿宋_GB2312"/>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r>
        <w:rPr>
          <w:rFonts w:hint="eastAsia" w:ascii="仿宋_GB2312" w:hAnsi="仿宋_GB2312" w:eastAsia="仿宋_GB2312" w:cs="仿宋_GB2312"/>
          <w:sz w:val="32"/>
          <w:szCs w:val="32"/>
        </w:rPr>
        <w:t>总体来说，本单位2020年部门整体支出情况良好，从预算到执行和收入、支出等，都严格按相关制度要求进行，全年收支平衡，略有结余。有效保证了机构运转，圆满完成了上级下达的目标任务。</w:t>
      </w:r>
    </w:p>
    <w:p>
      <w:pPr>
        <w:widowControl/>
        <w:numPr>
          <w:ilvl w:val="0"/>
          <w:numId w:val="0"/>
        </w:numPr>
        <w:adjustRightInd w:val="0"/>
        <w:snapToGrid w:val="0"/>
        <w:spacing w:line="580" w:lineRule="exact"/>
        <w:ind w:firstLine="642" w:firstLineChars="200"/>
        <w:contextualSpacing/>
        <w:jc w:val="left"/>
        <w:rPr>
          <w:rFonts w:hint="eastAsia" w:ascii="仿宋_GB2312" w:hAnsi="仿宋_GB2312" w:eastAsia="仿宋_GB2312" w:cs="仿宋_GB2312"/>
          <w:lang w:val="zh-CN"/>
        </w:rPr>
      </w:pPr>
      <w:r>
        <w:rPr>
          <w:rFonts w:hint="eastAsia" w:ascii="楷体_GB2312" w:hAnsi="楷体_GB2312" w:eastAsia="楷体_GB2312" w:cs="楷体_GB2312"/>
          <w:b/>
          <w:bCs/>
          <w:color w:val="000000"/>
          <w:kern w:val="0"/>
          <w:sz w:val="32"/>
          <w:szCs w:val="32"/>
          <w:shd w:val="clear" w:color="auto" w:fill="FFFFFF"/>
          <w:lang w:val="zh-CN"/>
        </w:rPr>
        <w:t>（二）存在问题。</w:t>
      </w:r>
      <w:r>
        <w:rPr>
          <w:rFonts w:hint="eastAsia" w:ascii="仿宋_GB2312" w:hAnsi="仿宋_GB2312" w:eastAsia="仿宋_GB2312" w:cs="仿宋_GB2312"/>
          <w:sz w:val="32"/>
          <w:szCs w:val="32"/>
        </w:rPr>
        <w:t>绩效评价基础数据还不够准确，项目绩效管理有待提高。</w:t>
      </w:r>
    </w:p>
    <w:p>
      <w:pPr>
        <w:widowControl/>
        <w:numPr>
          <w:ilvl w:val="0"/>
          <w:numId w:val="0"/>
        </w:numPr>
        <w:adjustRightInd w:val="0"/>
        <w:snapToGrid w:val="0"/>
        <w:spacing w:line="580" w:lineRule="exact"/>
        <w:ind w:firstLine="642"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（三）改进建议。</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1.进一步加强项目绩效管理，严格预算执行力度，合理安排支出，提高项目资金使用。</w:t>
      </w:r>
    </w:p>
    <w:p>
      <w:pPr>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2.进一步加强财务人员职业培训，提高财务核算、财务管理的综合水平。</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pStyle w:val="2"/>
        <w:rPr>
          <w:rFonts w:hint="eastAsia"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房产交易信息运维服务项目</w:t>
      </w:r>
    </w:p>
    <w:p>
      <w:pPr>
        <w:spacing w:line="6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adjustRightInd w:val="0"/>
        <w:snapToGrid w:val="0"/>
        <w:spacing w:line="600" w:lineRule="exact"/>
        <w:ind w:firstLine="720"/>
        <w:rPr>
          <w:rFonts w:hint="eastAsia" w:ascii="黑体" w:hAnsi="宋体" w:eastAsia="黑体"/>
          <w:sz w:val="32"/>
          <w:szCs w:val="32"/>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ind w:firstLine="640" w:firstLineChars="200"/>
        <w:rPr>
          <w:rFonts w:hint="eastAsia" w:ascii="仿宋_GB2312" w:hAnsi="宋体" w:eastAsia="仿宋"/>
          <w:sz w:val="32"/>
          <w:szCs w:val="32"/>
          <w:highlight w:val="none"/>
          <w:lang w:val="en-US" w:eastAsia="zh-CN"/>
        </w:rPr>
      </w:pPr>
      <w:r>
        <w:rPr>
          <w:rFonts w:hint="eastAsia" w:ascii="仿宋_GB2312" w:hAnsi="仿宋" w:eastAsia="仿宋_GB2312" w:cs="宋体"/>
          <w:kern w:val="0"/>
          <w:sz w:val="32"/>
          <w:szCs w:val="32"/>
          <w:lang w:eastAsia="zh-CN"/>
        </w:rPr>
        <w:t>市房地产管理处</w:t>
      </w:r>
      <w:r>
        <w:rPr>
          <w:rFonts w:hint="eastAsia" w:ascii="仿宋" w:hAnsi="仿宋" w:eastAsia="仿宋"/>
          <w:sz w:val="32"/>
          <w:szCs w:val="32"/>
        </w:rPr>
        <w:t>负责房地产企业、房地产中介机构及从业人员的信用信息、企业及人员库、统计数据的建立及管理，承担房地产企业、房地产中介机构行业规范事务工作。负责预售商品房、存量商品房的合同网签备案，承担房地产交易档案、数据及信息化工作。</w:t>
      </w:r>
      <w:r>
        <w:rPr>
          <w:rFonts w:hint="eastAsia" w:ascii="仿宋_GB2312" w:hAnsi="仿宋" w:eastAsia="仿宋_GB2312" w:cs="宋体"/>
          <w:kern w:val="0"/>
          <w:sz w:val="32"/>
          <w:szCs w:val="32"/>
          <w:lang w:eastAsia="zh-CN"/>
        </w:rPr>
        <w:t>根据需要，年初申</w:t>
      </w:r>
      <w:r>
        <w:rPr>
          <w:rFonts w:hint="eastAsia" w:ascii="仿宋" w:hAnsi="仿宋" w:eastAsia="仿宋" w:cs="仿宋"/>
          <w:kern w:val="0"/>
          <w:sz w:val="32"/>
          <w:szCs w:val="32"/>
          <w:lang w:eastAsia="zh-CN"/>
        </w:rPr>
        <w:t>报</w:t>
      </w:r>
      <w:r>
        <w:rPr>
          <w:rFonts w:hint="eastAsia" w:ascii="仿宋" w:hAnsi="仿宋" w:eastAsia="仿宋" w:cs="仿宋"/>
          <w:color w:val="000000"/>
          <w:kern w:val="0"/>
          <w:sz w:val="32"/>
          <w:szCs w:val="32"/>
          <w:lang w:val="zh-CN"/>
        </w:rPr>
        <w:t>房产交易信息运维服务</w:t>
      </w:r>
      <w:r>
        <w:rPr>
          <w:rFonts w:hint="eastAsia" w:ascii="仿宋" w:hAnsi="仿宋" w:eastAsia="仿宋" w:cs="仿宋"/>
          <w:color w:val="000000"/>
          <w:sz w:val="32"/>
          <w:szCs w:val="32"/>
          <w:lang w:eastAsia="zh-CN"/>
        </w:rPr>
        <w:t>工</w:t>
      </w:r>
      <w:r>
        <w:rPr>
          <w:rFonts w:hint="eastAsia" w:ascii="仿宋_GB2312" w:hAnsi="仿宋_GB2312" w:eastAsia="仿宋_GB2312" w:cs="仿宋_GB2312"/>
          <w:color w:val="000000"/>
          <w:sz w:val="32"/>
          <w:szCs w:val="32"/>
          <w:lang w:eastAsia="zh-CN"/>
        </w:rPr>
        <w:t>作经费1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5万元；</w:t>
      </w:r>
      <w:r>
        <w:rPr>
          <w:rFonts w:hint="eastAsia" w:ascii="仿宋_GB2312" w:hAnsi="宋体" w:eastAsia="仿宋_GB2312"/>
          <w:sz w:val="32"/>
          <w:szCs w:val="32"/>
          <w:highlight w:val="none"/>
          <w:lang w:val="zh-CN"/>
        </w:rPr>
        <w:t>市财政局下达专项工作经费</w:t>
      </w:r>
      <w:r>
        <w:rPr>
          <w:rFonts w:hint="eastAsia" w:ascii="仿宋_GB2312" w:hAnsi="宋体" w:eastAsia="仿宋_GB2312"/>
          <w:sz w:val="32"/>
          <w:szCs w:val="32"/>
          <w:highlight w:val="none"/>
          <w:lang w:val="en-US" w:eastAsia="zh-CN"/>
        </w:rPr>
        <w:t>1.5万元，截至2020年底，共计支出</w:t>
      </w:r>
      <w:r>
        <w:rPr>
          <w:rFonts w:hint="eastAsia" w:ascii="仿宋" w:hAnsi="仿宋" w:eastAsia="仿宋"/>
          <w:color w:val="000000"/>
          <w:sz w:val="32"/>
          <w:szCs w:val="32"/>
          <w:highlight w:val="none"/>
          <w:lang w:val="en-US" w:eastAsia="zh-CN"/>
        </w:rPr>
        <w:t>1.5万元</w:t>
      </w:r>
      <w:r>
        <w:rPr>
          <w:rFonts w:hint="eastAsia" w:ascii="仿宋" w:hAnsi="仿宋" w:eastAsia="仿宋"/>
          <w:color w:val="000000"/>
          <w:sz w:val="32"/>
          <w:szCs w:val="32"/>
          <w:highlight w:val="none"/>
          <w:lang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确保房产交易信息系统业务稳定及网络安全为目标，全力保障系统的正常运行；使房产交易信息系统安全率达到</w:t>
      </w:r>
      <w:r>
        <w:rPr>
          <w:rFonts w:hint="eastAsia" w:ascii="仿宋_GB2312" w:hAnsi="宋体" w:eastAsia="仿宋_GB2312"/>
          <w:sz w:val="32"/>
          <w:szCs w:val="32"/>
          <w:lang w:val="en-US" w:eastAsia="zh-CN"/>
        </w:rPr>
        <w:t>100%，</w:t>
      </w:r>
      <w:r>
        <w:rPr>
          <w:rFonts w:hint="eastAsia" w:ascii="仿宋_GB2312" w:hAnsi="宋体" w:eastAsia="仿宋_GB2312"/>
          <w:sz w:val="32"/>
          <w:szCs w:val="32"/>
          <w:lang w:val="zh-CN"/>
        </w:rPr>
        <w:t>方便查阅房地产相关信息，满意度达到90%以上。通过该项目实施，申报内容与实际相符、申报目标合理可行。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本次评价采用现场调研与非现场评价相结合的形式开展。评价综合运用比较法（对项目绩效目标与实施效果、预算与实际支出对比）、对项目决策、过程、产出、效果四个方面进行综合评价。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olor w:val="000000"/>
          <w:sz w:val="32"/>
          <w:szCs w:val="32"/>
          <w:highlight w:val="none"/>
          <w:lang w:eastAsia="zh-CN"/>
        </w:rPr>
      </w:pPr>
      <w:r>
        <w:rPr>
          <w:rFonts w:hint="eastAsia" w:ascii="仿宋_GB2312" w:hAnsi="宋体" w:eastAsia="仿宋_GB2312"/>
          <w:sz w:val="32"/>
          <w:szCs w:val="32"/>
          <w:highlight w:val="none"/>
          <w:lang w:val="en-US" w:eastAsia="zh-CN"/>
        </w:rPr>
        <w:t>2020年年初部门预算时，该项目申报了1.5万元。2020年</w:t>
      </w:r>
      <w:r>
        <w:rPr>
          <w:rFonts w:hint="eastAsia" w:ascii="仿宋_GB2312" w:hAnsi="宋体" w:eastAsia="仿宋_GB2312"/>
          <w:sz w:val="32"/>
          <w:szCs w:val="32"/>
          <w:highlight w:val="none"/>
          <w:lang w:val="zh-CN"/>
        </w:rPr>
        <w:t>年初市财政局根据</w:t>
      </w:r>
      <w:r>
        <w:rPr>
          <w:rFonts w:hint="eastAsia" w:ascii="仿宋_GB2312" w:hAnsi="宋体" w:eastAsia="仿宋_GB2312"/>
          <w:sz w:val="32"/>
          <w:szCs w:val="32"/>
          <w:highlight w:val="none"/>
          <w:lang w:val="en-US" w:eastAsia="zh-CN"/>
        </w:rPr>
        <w:t>广财预〔2020〕8号文件</w:t>
      </w:r>
      <w:r>
        <w:rPr>
          <w:rFonts w:hint="eastAsia" w:ascii="仿宋_GB2312" w:hAnsi="宋体" w:eastAsia="仿宋_GB2312"/>
          <w:sz w:val="32"/>
          <w:szCs w:val="32"/>
          <w:highlight w:val="none"/>
          <w:lang w:val="zh-CN"/>
        </w:rPr>
        <w:t>下达专项工作经费</w:t>
      </w:r>
      <w:r>
        <w:rPr>
          <w:rFonts w:hint="eastAsia" w:ascii="仿宋_GB2312" w:hAnsi="宋体" w:eastAsia="仿宋_GB2312"/>
          <w:sz w:val="32"/>
          <w:szCs w:val="32"/>
          <w:highlight w:val="none"/>
          <w:lang w:val="en-US" w:eastAsia="zh-CN"/>
        </w:rPr>
        <w:t>1.5万元</w:t>
      </w:r>
      <w:r>
        <w:rPr>
          <w:rFonts w:hint="eastAsia" w:ascii="仿宋" w:hAnsi="仿宋" w:eastAsia="仿宋"/>
          <w:color w:val="000000"/>
          <w:sz w:val="32"/>
          <w:szCs w:val="32"/>
          <w:highlight w:val="none"/>
          <w:lang w:eastAsia="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财政年初下达资金指标，单位按月支付服务费，全年共计支出</w:t>
      </w:r>
      <w:r>
        <w:rPr>
          <w:rFonts w:hint="eastAsia" w:ascii="仿宋_GB2312" w:hAnsi="仿宋_GB2312" w:eastAsia="仿宋_GB2312" w:cs="仿宋_GB2312"/>
          <w:sz w:val="32"/>
          <w:szCs w:val="32"/>
          <w:lang w:val="en-US" w:eastAsia="zh-CN"/>
        </w:rPr>
        <w:t>1.5万元，完成预算100%。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highlight w:val="none"/>
          <w:lang w:val="zh-CN"/>
        </w:rPr>
        <w:t>项目资金到位及时，财务科负责项目资金管理工作，资金使用范围较规范，账务处理及时，会计核算规范，符合财务管理要求。</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该项目由市房地产管理处具体实施，制定了相应的项目管理制度，严格把关，全面完成了任务。</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lang w:eastAsia="zh-CN"/>
        </w:rPr>
        <w:t>本年度通过</w:t>
      </w:r>
      <w:r>
        <w:rPr>
          <w:rFonts w:hint="eastAsia" w:ascii="仿宋_GB2312" w:hAnsi="仿宋_GB2312" w:eastAsia="仿宋_GB2312" w:cs="仿宋_GB2312"/>
          <w:sz w:val="32"/>
          <w:szCs w:val="32"/>
          <w:lang w:val="zh-CN"/>
        </w:rPr>
        <w:t>统一组织管理和调度针对本服务项目的技术资源，提供符合要求的人员和设备支持。以单一的接口保证双方的沟通能够简捷有效。建立快速响应机制，保证在特殊情况下，能够通过快速机制提供响应。通过责任到人、过程监控制等保证服务的效率和质量。采取防范网络入侵等危害网络安全行为的技术措施，落实重要数据备份措施。</w:t>
      </w:r>
      <w:r>
        <w:rPr>
          <w:rFonts w:hint="eastAsia" w:ascii="仿宋_GB2312" w:hAnsi="仿宋_GB2312" w:eastAsia="仿宋_GB2312" w:cs="仿宋_GB2312"/>
          <w:sz w:val="32"/>
          <w:szCs w:val="32"/>
          <w:highlight w:val="none"/>
          <w:lang w:val="zh-CN"/>
        </w:rPr>
        <w:t>本项目</w:t>
      </w:r>
      <w:r>
        <w:rPr>
          <w:rFonts w:hint="eastAsia" w:ascii="仿宋_GB2312" w:hAnsi="仿宋_GB2312" w:eastAsia="仿宋_GB2312" w:cs="仿宋_GB2312"/>
          <w:sz w:val="32"/>
          <w:szCs w:val="32"/>
          <w:highlight w:val="none"/>
          <w:lang w:val="en-US" w:eastAsia="zh-CN"/>
        </w:rPr>
        <w:t>2020年</w:t>
      </w:r>
      <w:r>
        <w:rPr>
          <w:rFonts w:hint="eastAsia" w:ascii="仿宋_GB2312" w:hAnsi="仿宋_GB2312" w:eastAsia="仿宋_GB2312" w:cs="仿宋_GB2312"/>
          <w:sz w:val="32"/>
          <w:szCs w:val="32"/>
          <w:highlight w:val="none"/>
          <w:lang w:val="zh-CN"/>
        </w:rPr>
        <w:t>下达专项工作经费</w:t>
      </w:r>
      <w:r>
        <w:rPr>
          <w:rFonts w:hint="eastAsia" w:ascii="仿宋_GB2312" w:hAnsi="仿宋_GB2312" w:eastAsia="仿宋_GB2312" w:cs="仿宋_GB2312"/>
          <w:sz w:val="32"/>
          <w:szCs w:val="32"/>
          <w:highlight w:val="none"/>
          <w:lang w:val="en-US" w:eastAsia="zh-CN"/>
        </w:rPr>
        <w:t>1.5万元，实际决算数</w:t>
      </w:r>
      <w:r>
        <w:rPr>
          <w:rFonts w:hint="eastAsia" w:ascii="仿宋_GB2312" w:hAnsi="仿宋_GB2312" w:eastAsia="仿宋_GB2312" w:cs="仿宋_GB2312"/>
          <w:color w:val="000000"/>
          <w:sz w:val="32"/>
          <w:szCs w:val="32"/>
          <w:highlight w:val="none"/>
          <w:lang w:val="en-US" w:eastAsia="zh-CN"/>
        </w:rPr>
        <w:t>1.5</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cs="Times New Roman"/>
          <w:sz w:val="32"/>
          <w:szCs w:val="32"/>
          <w:highlight w:val="none"/>
          <w:lang w:val="zh-CN"/>
        </w:rPr>
        <w:t>通过本项目的实施，</w:t>
      </w:r>
      <w:r>
        <w:rPr>
          <w:rFonts w:hint="eastAsia" w:ascii="仿宋_GB2312" w:hAnsi="宋体" w:eastAsia="仿宋_GB2312"/>
          <w:sz w:val="32"/>
          <w:szCs w:val="32"/>
          <w:lang w:val="zh-CN"/>
        </w:rPr>
        <w:t>确保了房产交易信息系统安全性，保障了各子系统正常稳定运行，使其房产交易信息系统安全率达到了</w:t>
      </w:r>
      <w:r>
        <w:rPr>
          <w:rFonts w:hint="eastAsia" w:ascii="仿宋_GB2312" w:hAnsi="宋体" w:eastAsia="仿宋_GB2312"/>
          <w:sz w:val="32"/>
          <w:szCs w:val="32"/>
          <w:lang w:val="en-US" w:eastAsia="zh-CN"/>
        </w:rPr>
        <w:t>100%，</w:t>
      </w:r>
      <w:r>
        <w:rPr>
          <w:rFonts w:hint="eastAsia" w:ascii="仿宋_GB2312" w:hAnsi="宋体" w:eastAsia="仿宋_GB2312"/>
          <w:sz w:val="32"/>
          <w:szCs w:val="32"/>
          <w:lang w:val="zh-CN"/>
        </w:rPr>
        <w:t>方便群众查阅房产交易相关信息，满意度达到90%以上，完成了绩效目标。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仿宋_GB2312" w:eastAsia="仿宋_GB2312" w:cs="仿宋_GB2312"/>
          <w:sz w:val="32"/>
          <w:szCs w:val="32"/>
          <w:lang w:eastAsia="zh-CN"/>
        </w:rPr>
        <w:t>市房地产管理处</w:t>
      </w:r>
      <w:r>
        <w:rPr>
          <w:rFonts w:hint="eastAsia" w:ascii="仿宋_GB2312" w:hAnsi="仿宋_GB2312" w:eastAsia="仿宋_GB2312" w:cs="仿宋_GB2312"/>
          <w:sz w:val="32"/>
          <w:szCs w:val="32"/>
        </w:rPr>
        <w:t>2020年</w:t>
      </w:r>
      <w:r>
        <w:rPr>
          <w:rFonts w:hint="eastAsia" w:ascii="仿宋_GB2312" w:hAnsi="仿宋_GB2312" w:eastAsia="仿宋_GB2312" w:cs="仿宋_GB2312"/>
          <w:color w:val="000000"/>
          <w:sz w:val="32"/>
          <w:szCs w:val="32"/>
        </w:rPr>
        <w:t>网络及信息系统维护</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执行较好</w:t>
      </w:r>
      <w:r>
        <w:rPr>
          <w:rFonts w:hint="eastAsia" w:ascii="仿宋_GB2312" w:hAnsi="宋体" w:eastAsia="仿宋_GB2312" w:cs="宋体"/>
          <w:color w:val="000000"/>
          <w:kern w:val="0"/>
          <w:sz w:val="32"/>
          <w:szCs w:val="32"/>
          <w:highlight w:val="none"/>
          <w:shd w:val="clear" w:color="auto" w:fill="FFFFFF"/>
          <w:lang w:val="zh-CN"/>
        </w:rPr>
        <w:t>，基本按照计划完成年度工作任务，实现了年度绩效目标。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绩效目标不够全面，个别指标值设定模糊。绩效目标反映的工作内容未充分体现项目预期经济社会效益。</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1.强化项目计划编制工作，提高项目任务与预算匹配 度；</w:t>
      </w:r>
    </w:p>
    <w:p>
      <w:pPr>
        <w:pStyle w:val="2"/>
        <w:ind w:firstLine="640" w:firstLineChars="200"/>
      </w:pPr>
      <w:r>
        <w:rPr>
          <w:rFonts w:hint="eastAsia" w:ascii="仿宋_GB2312" w:hAnsi="仿宋_GB2312" w:eastAsia="仿宋_GB2312" w:cs="仿宋_GB2312"/>
          <w:sz w:val="32"/>
          <w:szCs w:val="32"/>
          <w:highlight w:val="none"/>
          <w:lang w:val="en-US" w:eastAsia="zh-CN"/>
        </w:rPr>
        <w:t>2.加强培训与研究，提高绩效目标设置科学性。</w:t>
      </w:r>
    </w:p>
    <w:p>
      <w:pPr>
        <w:pStyle w:val="2"/>
        <w:rPr>
          <w:rStyle w:val="17"/>
          <w:rFonts w:ascii="黑体" w:hAnsi="黑体" w:eastAsia="黑体"/>
          <w:b w:val="0"/>
        </w:rPr>
      </w:pPr>
    </w:p>
    <w:p>
      <w:pPr>
        <w:pStyle w:val="2"/>
        <w:rPr>
          <w:rStyle w:val="17"/>
          <w:rFonts w:ascii="黑体" w:hAnsi="黑体" w:eastAsia="黑体"/>
          <w:b w:val="0"/>
        </w:rPr>
      </w:pPr>
    </w:p>
    <w:bookmarkEnd w:id="99"/>
    <w:p>
      <w:pPr>
        <w:spacing w:line="600" w:lineRule="exact"/>
        <w:jc w:val="both"/>
        <w:outlineLvl w:val="9"/>
        <w:rPr>
          <w:rFonts w:ascii="仿宋" w:hAnsi="仿宋" w:eastAsia="仿宋"/>
          <w:b/>
          <w:color w:val="000000"/>
          <w:sz w:val="44"/>
          <w:szCs w:val="44"/>
        </w:rPr>
      </w:pPr>
    </w:p>
    <w:p>
      <w:pPr>
        <w:spacing w:line="600" w:lineRule="exact"/>
        <w:jc w:val="center"/>
        <w:outlineLvl w:val="0"/>
        <w:rPr>
          <w:rStyle w:val="17"/>
          <w:rFonts w:hint="eastAsia" w:ascii="黑体" w:hAnsi="黑体" w:eastAsia="黑体"/>
          <w:b w:val="0"/>
        </w:rPr>
      </w:pPr>
      <w:bookmarkStart w:id="105" w:name="_Toc15396618"/>
      <w:bookmarkStart w:id="106" w:name="_Toc29594"/>
      <w:bookmarkStart w:id="107" w:name="_Toc12278"/>
      <w:bookmarkStart w:id="108" w:name="_Toc15396619"/>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105"/>
      <w:bookmarkEnd w:id="106"/>
      <w:bookmarkEnd w:id="107"/>
    </w:p>
    <w:p>
      <w:pPr>
        <w:pStyle w:val="2"/>
        <w:rPr>
          <w:rFonts w:hint="eastAsia"/>
        </w:rPr>
      </w:pPr>
    </w:p>
    <w:p>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000000"/>
        </w:rPr>
      </w:pPr>
      <w:bookmarkStart w:id="109" w:name="_Toc27180"/>
      <w:bookmarkStart w:id="110" w:name="_Toc27114"/>
      <w:r>
        <w:rPr>
          <w:rFonts w:hint="eastAsia" w:ascii="仿宋" w:hAnsi="仿宋" w:eastAsia="仿宋"/>
          <w:b w:val="0"/>
          <w:color w:val="000000"/>
        </w:rPr>
        <w:t>一、收</w:t>
      </w:r>
      <w:r>
        <w:rPr>
          <w:rStyle w:val="18"/>
          <w:rFonts w:hint="eastAsia" w:ascii="仿宋" w:hAnsi="仿宋" w:eastAsia="仿宋"/>
          <w:b w:val="0"/>
          <w:bCs w:val="0"/>
        </w:rPr>
        <w:t>入支出决算总表</w:t>
      </w:r>
      <w:bookmarkEnd w:id="108"/>
      <w:bookmarkEnd w:id="109"/>
      <w:bookmarkEnd w:id="110"/>
    </w:p>
    <w:p>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000000"/>
        </w:rPr>
      </w:pPr>
      <w:bookmarkStart w:id="111" w:name="_Toc15396620"/>
      <w:bookmarkStart w:id="112" w:name="_Toc3051"/>
      <w:bookmarkStart w:id="113" w:name="_Toc21024"/>
      <w:r>
        <w:rPr>
          <w:rFonts w:hint="eastAsia" w:ascii="仿宋" w:hAnsi="仿宋" w:eastAsia="仿宋"/>
          <w:b w:val="0"/>
          <w:color w:val="000000"/>
        </w:rPr>
        <w:t>二、收</w:t>
      </w:r>
      <w:r>
        <w:rPr>
          <w:rStyle w:val="18"/>
          <w:rFonts w:hint="eastAsia" w:ascii="仿宋" w:hAnsi="仿宋" w:eastAsia="仿宋"/>
          <w:b w:val="0"/>
          <w:bCs w:val="0"/>
        </w:rPr>
        <w:t>入决算表</w:t>
      </w:r>
      <w:bookmarkEnd w:id="111"/>
      <w:bookmarkEnd w:id="112"/>
      <w:bookmarkEnd w:id="113"/>
    </w:p>
    <w:p>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000000"/>
        </w:rPr>
      </w:pPr>
      <w:bookmarkStart w:id="114" w:name="_Toc16513"/>
      <w:bookmarkStart w:id="115" w:name="_Toc24378"/>
      <w:bookmarkStart w:id="116"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出决算表</w:t>
      </w:r>
      <w:bookmarkEnd w:id="114"/>
      <w:bookmarkEnd w:id="115"/>
      <w:bookmarkEnd w:id="116"/>
    </w:p>
    <w:p>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b w:val="0"/>
          <w:color w:val="000000"/>
        </w:rPr>
      </w:pPr>
      <w:bookmarkStart w:id="117" w:name="_Toc15396622"/>
      <w:bookmarkStart w:id="118" w:name="_Toc29794"/>
      <w:bookmarkStart w:id="119" w:name="_Toc12605"/>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117"/>
      <w:bookmarkEnd w:id="118"/>
      <w:bookmarkEnd w:id="119"/>
    </w:p>
    <w:p>
      <w:pPr>
        <w:pStyle w:val="4"/>
        <w:keepNext/>
        <w:keepLines/>
        <w:pageBreakBefore w:val="0"/>
        <w:widowControl w:val="0"/>
        <w:kinsoku/>
        <w:wordWrap/>
        <w:overflowPunct/>
        <w:topLinePunct w:val="0"/>
        <w:autoSpaceDE/>
        <w:autoSpaceDN/>
        <w:bidi w:val="0"/>
        <w:adjustRightInd/>
        <w:snapToGrid/>
        <w:spacing w:line="600" w:lineRule="exact"/>
        <w:textAlignment w:val="auto"/>
        <w:rPr>
          <w:rStyle w:val="18"/>
          <w:rFonts w:ascii="仿宋" w:hAnsi="仿宋" w:eastAsia="仿宋"/>
          <w:b w:val="0"/>
          <w:bCs w:val="0"/>
        </w:rPr>
      </w:pPr>
      <w:bookmarkStart w:id="120" w:name="_Toc15396623"/>
      <w:bookmarkStart w:id="121" w:name="_Toc16260"/>
      <w:bookmarkStart w:id="122" w:name="_Toc13994"/>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w:t>
      </w:r>
      <w:bookmarkEnd w:id="120"/>
      <w:bookmarkEnd w:id="121"/>
      <w:bookmarkEnd w:id="122"/>
      <w:bookmarkStart w:id="123" w:name="_Toc15396624"/>
    </w:p>
    <w:p>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000000"/>
        </w:rPr>
      </w:pPr>
      <w:bookmarkStart w:id="124" w:name="_Toc15791"/>
      <w:bookmarkStart w:id="125" w:name="_Toc22204"/>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123"/>
      <w:bookmarkEnd w:id="124"/>
      <w:bookmarkEnd w:id="125"/>
    </w:p>
    <w:p>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000000"/>
        </w:rPr>
      </w:pPr>
      <w:bookmarkStart w:id="126" w:name="_Toc24686"/>
      <w:bookmarkStart w:id="127" w:name="_Toc15396625"/>
      <w:bookmarkStart w:id="128" w:name="_Toc1453"/>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126"/>
      <w:bookmarkEnd w:id="127"/>
      <w:bookmarkEnd w:id="128"/>
    </w:p>
    <w:p>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000000"/>
        </w:rPr>
      </w:pPr>
      <w:bookmarkStart w:id="129" w:name="_Toc15396626"/>
      <w:bookmarkStart w:id="130" w:name="_Toc28096"/>
      <w:bookmarkStart w:id="131" w:name="_Toc27064"/>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129"/>
      <w:bookmarkEnd w:id="130"/>
      <w:bookmarkEnd w:id="131"/>
    </w:p>
    <w:p>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000000"/>
        </w:rPr>
      </w:pPr>
      <w:bookmarkStart w:id="132" w:name="_Toc15396627"/>
      <w:bookmarkStart w:id="133" w:name="_Toc23912"/>
      <w:bookmarkStart w:id="134" w:name="_Toc12242"/>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132"/>
      <w:bookmarkEnd w:id="133"/>
      <w:bookmarkEnd w:id="134"/>
    </w:p>
    <w:p>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000000"/>
        </w:rPr>
      </w:pPr>
      <w:bookmarkStart w:id="135" w:name="_Toc2919"/>
      <w:bookmarkStart w:id="136" w:name="_Toc15396628"/>
      <w:bookmarkStart w:id="137" w:name="_Toc2976"/>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135"/>
      <w:bookmarkEnd w:id="136"/>
      <w:bookmarkEnd w:id="137"/>
    </w:p>
    <w:p>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000000"/>
        </w:rPr>
      </w:pPr>
      <w:bookmarkStart w:id="138" w:name="_Toc15396629"/>
      <w:bookmarkStart w:id="139" w:name="_Toc32080"/>
      <w:bookmarkStart w:id="140" w:name="_Toc8505"/>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138"/>
      <w:bookmarkEnd w:id="139"/>
      <w:bookmarkEnd w:id="140"/>
    </w:p>
    <w:p>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000000"/>
        </w:rPr>
      </w:pPr>
      <w:bookmarkStart w:id="141" w:name="_Toc31810"/>
      <w:bookmarkStart w:id="142" w:name="_Toc10922"/>
      <w:bookmarkStart w:id="143"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141"/>
      <w:bookmarkEnd w:id="142"/>
      <w:bookmarkEnd w:id="143"/>
    </w:p>
    <w:p>
      <w:pPr>
        <w:pStyle w:val="4"/>
        <w:keepNext/>
        <w:keepLines/>
        <w:pageBreakBefore w:val="0"/>
        <w:widowControl w:val="0"/>
        <w:kinsoku/>
        <w:wordWrap/>
        <w:overflowPunct/>
        <w:topLinePunct w:val="0"/>
        <w:autoSpaceDE/>
        <w:autoSpaceDN/>
        <w:bidi w:val="0"/>
        <w:adjustRightInd/>
        <w:snapToGrid/>
        <w:spacing w:line="600" w:lineRule="exact"/>
        <w:textAlignment w:val="auto"/>
        <w:rPr>
          <w:rStyle w:val="18"/>
          <w:rFonts w:hint="eastAsia" w:ascii="仿宋" w:hAnsi="仿宋" w:eastAsia="仿宋"/>
          <w:b w:val="0"/>
          <w:bCs w:val="0"/>
        </w:rPr>
      </w:pPr>
      <w:bookmarkStart w:id="144" w:name="_Toc4886"/>
      <w:bookmarkStart w:id="145" w:name="_Toc29965"/>
      <w:bookmarkStart w:id="146"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有资本经营预算财政拨款支出决算表</w:t>
      </w:r>
      <w:bookmarkEnd w:id="144"/>
      <w:bookmarkEnd w:id="145"/>
      <w:bookmarkEnd w:id="146"/>
    </w:p>
    <w:p>
      <w:pPr>
        <w:pStyle w:val="4"/>
        <w:keepNext/>
        <w:keepLines/>
        <w:pageBreakBefore w:val="0"/>
        <w:widowControl w:val="0"/>
        <w:kinsoku/>
        <w:wordWrap/>
        <w:overflowPunct/>
        <w:topLinePunct w:val="0"/>
        <w:autoSpaceDE/>
        <w:autoSpaceDN/>
        <w:bidi w:val="0"/>
        <w:adjustRightInd/>
        <w:snapToGrid/>
        <w:spacing w:line="600" w:lineRule="exact"/>
        <w:textAlignment w:val="auto"/>
        <w:rPr>
          <w:rStyle w:val="18"/>
          <w:rFonts w:hint="eastAsia" w:ascii="仿宋" w:hAnsi="仿宋" w:eastAsia="仿宋"/>
          <w:b w:val="0"/>
          <w:bCs w:val="0"/>
        </w:rPr>
      </w:pPr>
      <w:bookmarkStart w:id="147" w:name="_Toc7809"/>
      <w:bookmarkStart w:id="148" w:name="_Toc20867"/>
      <w:r>
        <w:rPr>
          <w:rStyle w:val="18"/>
          <w:rFonts w:hint="eastAsia" w:ascii="仿宋" w:hAnsi="仿宋" w:eastAsia="仿宋"/>
          <w:b w:val="0"/>
          <w:bCs w:val="0"/>
          <w:lang w:eastAsia="zh-CN"/>
        </w:rPr>
        <w:t>十四、</w:t>
      </w:r>
      <w:r>
        <w:rPr>
          <w:rFonts w:hint="eastAsia" w:ascii="仿宋" w:hAnsi="仿宋" w:eastAsia="仿宋"/>
          <w:b w:val="0"/>
          <w:color w:val="000000"/>
        </w:rPr>
        <w:t>国</w:t>
      </w:r>
      <w:r>
        <w:rPr>
          <w:rStyle w:val="18"/>
          <w:rFonts w:hint="eastAsia" w:ascii="仿宋" w:hAnsi="仿宋" w:eastAsia="仿宋"/>
          <w:b w:val="0"/>
          <w:bCs w:val="0"/>
        </w:rPr>
        <w:t>有资本经营预算财政拨款支出决算表</w:t>
      </w:r>
      <w:bookmarkEnd w:id="147"/>
      <w:bookmarkEnd w:id="148"/>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1822C"/>
    <w:multiLevelType w:val="singleLevel"/>
    <w:tmpl w:val="9ED1822C"/>
    <w:lvl w:ilvl="0" w:tentative="0">
      <w:start w:val="2"/>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TEyMTA4OTM5OTkwODdjMzk3ZjZlZjk1OGViN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B7801"/>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60A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30D1"/>
    <w:rsid w:val="00CB4E70"/>
    <w:rsid w:val="00CC09B6"/>
    <w:rsid w:val="00CC666F"/>
    <w:rsid w:val="00CD1E3F"/>
    <w:rsid w:val="00CD451D"/>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4DDA"/>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92C0BC0"/>
    <w:rsid w:val="095B577A"/>
    <w:rsid w:val="0A2032A3"/>
    <w:rsid w:val="10C055FF"/>
    <w:rsid w:val="118107EC"/>
    <w:rsid w:val="13BE096A"/>
    <w:rsid w:val="16BB723D"/>
    <w:rsid w:val="17513616"/>
    <w:rsid w:val="1D155CEE"/>
    <w:rsid w:val="1DDF06D2"/>
    <w:rsid w:val="1DF1525F"/>
    <w:rsid w:val="1F1757BE"/>
    <w:rsid w:val="1F4C1BA3"/>
    <w:rsid w:val="240371BF"/>
    <w:rsid w:val="244C297E"/>
    <w:rsid w:val="24CE6773"/>
    <w:rsid w:val="29174384"/>
    <w:rsid w:val="29FD04D3"/>
    <w:rsid w:val="2A0402CC"/>
    <w:rsid w:val="2A861144"/>
    <w:rsid w:val="2C2D41C2"/>
    <w:rsid w:val="2DC04267"/>
    <w:rsid w:val="2E0E2087"/>
    <w:rsid w:val="319A0D1B"/>
    <w:rsid w:val="319F7F4E"/>
    <w:rsid w:val="322866ED"/>
    <w:rsid w:val="34512FF1"/>
    <w:rsid w:val="3A790AD8"/>
    <w:rsid w:val="3EBD335A"/>
    <w:rsid w:val="4BD01A4B"/>
    <w:rsid w:val="4D461A45"/>
    <w:rsid w:val="4ECE2238"/>
    <w:rsid w:val="501D3FA1"/>
    <w:rsid w:val="51816FED"/>
    <w:rsid w:val="5A71785A"/>
    <w:rsid w:val="615938FB"/>
    <w:rsid w:val="640E3621"/>
    <w:rsid w:val="674D293A"/>
    <w:rsid w:val="68602CDB"/>
    <w:rsid w:val="6B227277"/>
    <w:rsid w:val="6B5C65B4"/>
    <w:rsid w:val="6B994B06"/>
    <w:rsid w:val="6C0D6A5A"/>
    <w:rsid w:val="6C106CD7"/>
    <w:rsid w:val="6C4A05C8"/>
    <w:rsid w:val="6F4FC0F6"/>
    <w:rsid w:val="72734D90"/>
    <w:rsid w:val="76695EA9"/>
    <w:rsid w:val="767D5F51"/>
    <w:rsid w:val="778B5870"/>
    <w:rsid w:val="7A980B7B"/>
    <w:rsid w:val="7B40116D"/>
    <w:rsid w:val="BBBF262C"/>
    <w:rsid w:val="BFB7FCF0"/>
    <w:rsid w:val="C5770040"/>
    <w:rsid w:val="CFAB30D0"/>
    <w:rsid w:val="EF6EC4AE"/>
    <w:rsid w:val="FBDBB8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19"/>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footer"/>
    <w:basedOn w:val="1"/>
    <w:link w:val="16"/>
    <w:qFormat/>
    <w:uiPriority w:val="99"/>
    <w:pPr>
      <w:tabs>
        <w:tab w:val="center" w:pos="4153"/>
        <w:tab w:val="right" w:pos="8306"/>
      </w:tabs>
      <w:snapToGrid w:val="0"/>
      <w:jc w:val="left"/>
    </w:pPr>
    <w:rPr>
      <w:rFonts w:ascii="Calibri" w:hAnsi="Calibri"/>
      <w:kern w:val="0"/>
      <w:sz w:val="18"/>
      <w:szCs w:val="20"/>
    </w:rPr>
  </w:style>
  <w:style w:type="paragraph" w:styleId="6">
    <w:name w:val="Body Text"/>
    <w:basedOn w:val="1"/>
    <w:link w:val="20"/>
    <w:qFormat/>
    <w:uiPriority w:val="99"/>
    <w:pPr>
      <w:spacing w:beforeLines="30"/>
    </w:pPr>
    <w:rPr>
      <w:rFonts w:ascii="仿宋_GB2312" w:eastAsia="仿宋_GB2312"/>
      <w:kern w:val="0"/>
      <w:sz w:val="24"/>
      <w:szCs w:val="2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1"/>
    <w:unhideWhenUsed/>
    <w:qFormat/>
    <w:uiPriority w:val="99"/>
    <w:rPr>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unhideWhenUsed/>
    <w:qFormat/>
    <w:uiPriority w:val="99"/>
    <w:rPr>
      <w:rFonts w:cs="Times New Roman"/>
      <w:color w:val="0000FF"/>
      <w:u w:val="single"/>
    </w:rPr>
  </w:style>
  <w:style w:type="character" w:customStyle="1" w:styleId="16">
    <w:name w:val="页脚 Char"/>
    <w:link w:val="2"/>
    <w:qFormat/>
    <w:locked/>
    <w:uiPriority w:val="99"/>
    <w:rPr>
      <w:sz w:val="18"/>
    </w:rPr>
  </w:style>
  <w:style w:type="character" w:customStyle="1" w:styleId="17">
    <w:name w:val="标题 1 Char"/>
    <w:basedOn w:val="13"/>
    <w:link w:val="3"/>
    <w:qFormat/>
    <w:locked/>
    <w:uiPriority w:val="9"/>
    <w:rPr>
      <w:rFonts w:ascii="Times New Roman" w:hAnsi="Times New Roman" w:cs="Times New Roman"/>
      <w:b/>
      <w:bCs/>
      <w:kern w:val="44"/>
      <w:sz w:val="44"/>
      <w:szCs w:val="44"/>
    </w:rPr>
  </w:style>
  <w:style w:type="character" w:customStyle="1" w:styleId="18">
    <w:name w:val="标题 2 Char"/>
    <w:basedOn w:val="13"/>
    <w:link w:val="4"/>
    <w:qFormat/>
    <w:locked/>
    <w:uiPriority w:val="9"/>
    <w:rPr>
      <w:rFonts w:ascii="Cambria" w:hAnsi="Cambria" w:eastAsia="宋体" w:cs="Times New Roman"/>
      <w:b/>
      <w:bCs/>
      <w:kern w:val="2"/>
      <w:sz w:val="32"/>
      <w:szCs w:val="32"/>
    </w:rPr>
  </w:style>
  <w:style w:type="character" w:customStyle="1" w:styleId="19">
    <w:name w:val="标题 3 Char"/>
    <w:basedOn w:val="13"/>
    <w:link w:val="5"/>
    <w:qFormat/>
    <w:locked/>
    <w:uiPriority w:val="9"/>
    <w:rPr>
      <w:rFonts w:ascii="Times New Roman" w:hAnsi="Times New Roman" w:cs="Times New Roman"/>
      <w:b/>
      <w:bCs/>
      <w:kern w:val="2"/>
      <w:sz w:val="32"/>
      <w:szCs w:val="32"/>
    </w:rPr>
  </w:style>
  <w:style w:type="character" w:customStyle="1" w:styleId="20">
    <w:name w:val="正文文本 Char"/>
    <w:link w:val="6"/>
    <w:qFormat/>
    <w:locked/>
    <w:uiPriority w:val="99"/>
    <w:rPr>
      <w:rFonts w:ascii="仿宋_GB2312" w:hAnsi="Times New Roman" w:eastAsia="仿宋_GB2312"/>
      <w:sz w:val="24"/>
    </w:rPr>
  </w:style>
  <w:style w:type="character" w:customStyle="1" w:styleId="21">
    <w:name w:val="批注框文本 Char"/>
    <w:basedOn w:val="13"/>
    <w:link w:val="8"/>
    <w:semiHidden/>
    <w:qFormat/>
    <w:locked/>
    <w:uiPriority w:val="99"/>
    <w:rPr>
      <w:rFonts w:ascii="Times New Roman" w:hAnsi="Times New Roman" w:cs="Times New Roman"/>
      <w:kern w:val="2"/>
      <w:sz w:val="18"/>
      <w:szCs w:val="18"/>
    </w:rPr>
  </w:style>
  <w:style w:type="character" w:customStyle="1" w:styleId="22">
    <w:name w:val="页眉 Char"/>
    <w:link w:val="9"/>
    <w:semiHidden/>
    <w:qFormat/>
    <w:locked/>
    <w:uiPriority w:val="99"/>
    <w:rPr>
      <w:sz w:val="18"/>
    </w:rPr>
  </w:style>
  <w:style w:type="character" w:customStyle="1" w:styleId="23">
    <w:name w:val="Footer Char"/>
    <w:basedOn w:val="13"/>
    <w:semiHidden/>
    <w:qFormat/>
    <w:uiPriority w:val="99"/>
    <w:rPr>
      <w:rFonts w:ascii="Times New Roman" w:hAnsi="Times New Roman" w:cs="Times New Roman"/>
      <w:sz w:val="18"/>
      <w:szCs w:val="18"/>
    </w:rPr>
  </w:style>
  <w:style w:type="character" w:customStyle="1" w:styleId="24">
    <w:name w:val="Body Text Char"/>
    <w:basedOn w:val="13"/>
    <w:semiHidden/>
    <w:qFormat/>
    <w:uiPriority w:val="99"/>
    <w:rPr>
      <w:rFonts w:ascii="Times New Roman" w:hAnsi="Times New Roman" w:cs="Times New Roman"/>
      <w:sz w:val="24"/>
      <w:szCs w:val="24"/>
    </w:rPr>
  </w:style>
  <w:style w:type="character" w:customStyle="1" w:styleId="25">
    <w:name w:val="Header Char"/>
    <w:basedOn w:val="13"/>
    <w:semiHidden/>
    <w:qFormat/>
    <w:uiPriority w:val="99"/>
    <w:rPr>
      <w:rFonts w:ascii="Times New Roman" w:hAnsi="Times New Roman" w:cs="Times New Roman"/>
      <w:sz w:val="18"/>
      <w:szCs w:val="18"/>
    </w:rPr>
  </w:style>
  <w:style w:type="paragraph" w:customStyle="1" w:styleId="26">
    <w:name w:val="List Paragraph"/>
    <w:basedOn w:val="1"/>
    <w:qFormat/>
    <w:uiPriority w:val="34"/>
    <w:pPr>
      <w:ind w:firstLine="420" w:firstLineChars="200"/>
    </w:pPr>
  </w:style>
  <w:style w:type="paragraph" w:customStyle="1" w:styleId="27">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0">
    <w:name w:val="WPSOffice手动目录 1"/>
    <w:qFormat/>
    <w:uiPriority w:val="0"/>
    <w:pPr>
      <w:ind w:leftChars="0"/>
    </w:pPr>
    <w:rPr>
      <w:rFonts w:ascii="Calibri" w:hAnsi="Calibri" w:eastAsia="宋体" w:cs="Times New Roman"/>
      <w:sz w:val="20"/>
      <w:szCs w:val="20"/>
    </w:rPr>
  </w:style>
  <w:style w:type="paragraph" w:customStyle="1" w:styleId="31">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H:\2021\&#20915;&#31639;&#20844;&#24320;2020\&#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H:\2021\&#20915;&#31639;&#20844;&#24320;2020\&#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H:\2021\&#20915;&#31639;&#20844;&#24320;2020\&#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H:\2021\&#20915;&#31639;&#20844;&#24320;2020\&#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2021\&#20915;&#31639;&#20844;&#24320;2020\&#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H:\2021\&#20915;&#31639;&#20844;&#24320;2020\&#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false"/>
    <c:plotArea>
      <c:layout/>
      <c:barChart>
        <c:barDir val="col"/>
        <c:grouping val="clustered"/>
        <c:varyColors val="false"/>
        <c:ser>
          <c:idx val="0"/>
          <c:order val="0"/>
          <c:tx>
            <c:strRef>
              <c:f>[图.xlsx]房管!$B$2</c:f>
              <c:strCache>
                <c:ptCount val="1"/>
                <c:pt idx="0">
                  <c:v>收、支决算总计变动情况图</c:v>
                </c:pt>
              </c:strCache>
            </c:strRef>
          </c:tx>
          <c:spPr>
            <a:solidFill>
              <a:srgbClr val="4F81BD"/>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numRef>
              <c:f>[图.xlsx]房管!$A$3:$A$4</c:f>
              <c:numCache>
                <c:formatCode>General</c:formatCode>
                <c:ptCount val="2"/>
                <c:pt idx="0">
                  <c:v>2019</c:v>
                </c:pt>
                <c:pt idx="1">
                  <c:v>2020</c:v>
                </c:pt>
              </c:numCache>
            </c:numRef>
          </c:cat>
          <c:val>
            <c:numRef>
              <c:f>[图.xlsx]房管!$B$3:$B$4</c:f>
              <c:numCache>
                <c:formatCode>General</c:formatCode>
                <c:ptCount val="2"/>
                <c:pt idx="0">
                  <c:v>390.29</c:v>
                </c:pt>
                <c:pt idx="1">
                  <c:v>346</c:v>
                </c:pt>
              </c:numCache>
            </c:numRef>
          </c:val>
        </c:ser>
        <c:dLbls>
          <c:showLegendKey val="false"/>
          <c:showVal val="true"/>
          <c:showCatName val="false"/>
          <c:showSerName val="false"/>
          <c:showPercent val="false"/>
          <c:showBubbleSize val="false"/>
        </c:dLbls>
        <c:gapWidth val="219"/>
        <c:overlap val="-27"/>
        <c:axId val="986188468"/>
        <c:axId val="215656989"/>
      </c:barChart>
      <c:catAx>
        <c:axId val="986188468"/>
        <c:scaling>
          <c:orientation val="minMax"/>
        </c:scaling>
        <c:delete val="false"/>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215656989"/>
        <c:crosses val="autoZero"/>
        <c:auto val="true"/>
        <c:lblAlgn val="ctr"/>
        <c:lblOffset val="100"/>
        <c:noMultiLvlLbl val="false"/>
      </c:catAx>
      <c:valAx>
        <c:axId val="215656989"/>
        <c:scaling>
          <c:orientation val="minMax"/>
        </c:scaling>
        <c:delete val="false"/>
        <c:axPos val="l"/>
        <c:majorGridlines>
          <c:spPr>
            <a:ln w="9525" cap="flat" cmpd="sng" algn="ctr">
              <a:solidFill>
                <a:srgbClr val="D9D9D9">
                  <a:lumMod val="15000"/>
                  <a:lumOff val="85000"/>
                </a:srgb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986188468"/>
        <c:crosses val="autoZero"/>
        <c:crossBetween val="between"/>
      </c:valAx>
      <c:spPr>
        <a:noFill/>
        <a:ln>
          <a:noFill/>
        </a:ln>
        <a:effectLst/>
      </c:spPr>
    </c:plotArea>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35277777777778"/>
          <c:y val="0.104166666666667"/>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false"/>
    <c:plotArea>
      <c:layout/>
      <c:pieChart>
        <c:varyColors val="true"/>
        <c:ser>
          <c:idx val="0"/>
          <c:order val="0"/>
          <c:tx>
            <c:strRef>
              <c:f>[图.xlsx]房管!$B$30</c:f>
              <c:strCache>
                <c:ptCount val="1"/>
                <c:pt idx="0">
                  <c:v>收入决算结构图</c:v>
                </c:pt>
              </c:strCache>
            </c:strRef>
          </c:tx>
          <c:spPr/>
          <c:explosion val="0"/>
          <c:dPt>
            <c:idx val="0"/>
            <c:bubble3D val="false"/>
            <c:spPr>
              <a:solidFill>
                <a:srgbClr val="4F81BD"/>
              </a:solidFill>
              <a:ln w="19050">
                <a:solidFill>
                  <a:srgbClr val="FFFFFF"/>
                </a:solidFill>
              </a:ln>
              <a:effectLst/>
            </c:spPr>
          </c:dPt>
          <c:dPt>
            <c:idx val="1"/>
            <c:bubble3D val="false"/>
            <c:spPr>
              <a:solidFill>
                <a:srgbClr val="C0504D"/>
              </a:solidFill>
              <a:ln w="19050">
                <a:solidFill>
                  <a:srgbClr val="FFFFFF"/>
                </a:solidFill>
              </a:ln>
              <a:effectLst/>
            </c:spPr>
          </c:dPt>
          <c:dPt>
            <c:idx val="2"/>
            <c:bubble3D val="false"/>
            <c:spPr>
              <a:solidFill>
                <a:srgbClr val="9BBB59"/>
              </a:solidFill>
              <a:ln w="19050">
                <a:solidFill>
                  <a:srgbClr val="FFFFFF"/>
                </a:solidFill>
              </a:ln>
              <a:effectLst/>
            </c:spPr>
          </c:dPt>
          <c:dPt>
            <c:idx val="3"/>
            <c:bubble3D val="false"/>
            <c:spPr>
              <a:solidFill>
                <a:srgbClr val="8064A2"/>
              </a:solidFill>
              <a:ln w="19050">
                <a:solidFill>
                  <a:srgbClr val="FFFFFF"/>
                </a:solidFill>
              </a:ln>
              <a:effectLst/>
            </c:spPr>
          </c:dPt>
          <c:dPt>
            <c:idx val="4"/>
            <c:bubble3D val="false"/>
            <c:spPr>
              <a:solidFill>
                <a:srgbClr val="4BACC6"/>
              </a:solidFill>
              <a:ln w="19050">
                <a:solidFill>
                  <a:srgbClr val="FFFFFF"/>
                </a:solidFill>
              </a:ln>
              <a:effectLst/>
            </c:spPr>
          </c:dPt>
          <c:dPt>
            <c:idx val="5"/>
            <c:bubble3D val="false"/>
            <c:spPr>
              <a:solidFill>
                <a:srgbClr val="F79646"/>
              </a:solidFill>
              <a:ln w="19050">
                <a:solidFill>
                  <a:srgbClr val="FFFFFF"/>
                </a:solidFill>
              </a:ln>
              <a:effectLst/>
            </c:spPr>
          </c:dPt>
          <c:dPt>
            <c:idx val="6"/>
            <c:bubble3D val="false"/>
            <c:spPr>
              <a:solidFill>
                <a:srgbClr val="2C4D75">
                  <a:lumMod val="60000"/>
                </a:srgbClr>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strRef>
              <c:f>[图.xlsx]房管!$A$31:$A$37</c:f>
              <c:strCache>
                <c:ptCount val="7"/>
                <c:pt idx="0">
                  <c:v>一般公共预算财政拨款收入</c:v>
                </c:pt>
                <c:pt idx="1">
                  <c:v>政府性基金预算财政拨款收入</c:v>
                </c:pt>
                <c:pt idx="2">
                  <c:v>其他收入</c:v>
                </c:pt>
                <c:pt idx="3">
                  <c:v>上级补助收入</c:v>
                </c:pt>
                <c:pt idx="4">
                  <c:v>事业收入</c:v>
                </c:pt>
                <c:pt idx="5">
                  <c:v>经营收入</c:v>
                </c:pt>
                <c:pt idx="6">
                  <c:v>附属单位上缴收入</c:v>
                </c:pt>
              </c:strCache>
            </c:strRef>
          </c:cat>
          <c:val>
            <c:numRef>
              <c:f>[图.xlsx]房管!$B$31:$B$37</c:f>
              <c:numCache>
                <c:formatCode>General</c:formatCode>
                <c:ptCount val="7"/>
                <c:pt idx="0">
                  <c:v>274.35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false"/>
    <c:plotArea>
      <c:layout/>
      <c:pieChart>
        <c:varyColors val="true"/>
        <c:ser>
          <c:idx val="0"/>
          <c:order val="0"/>
          <c:tx>
            <c:strRef>
              <c:f>[图.xlsx]房管!$B$12</c:f>
              <c:strCache>
                <c:ptCount val="1"/>
                <c:pt idx="0">
                  <c:v>支出决算结构图</c:v>
                </c:pt>
              </c:strCache>
            </c:strRef>
          </c:tx>
          <c:spPr/>
          <c:explosion val="0"/>
          <c:dPt>
            <c:idx val="0"/>
            <c:bubble3D val="false"/>
            <c:spPr>
              <a:solidFill>
                <a:srgbClr val="4F81BD"/>
              </a:solidFill>
              <a:ln w="19050">
                <a:solidFill>
                  <a:srgbClr val="FFFFFF"/>
                </a:solidFill>
              </a:ln>
              <a:effectLst/>
            </c:spPr>
          </c:dPt>
          <c:dPt>
            <c:idx val="1"/>
            <c:bubble3D val="false"/>
            <c:spPr>
              <a:solidFill>
                <a:srgbClr val="C0504D"/>
              </a:solidFill>
              <a:ln w="19050">
                <a:solidFill>
                  <a:srgbClr val="FFFFFF"/>
                </a:solidFill>
              </a:ln>
              <a:effectLst/>
            </c:spPr>
          </c:dPt>
          <c:dPt>
            <c:idx val="2"/>
            <c:bubble3D val="false"/>
            <c:spPr>
              <a:solidFill>
                <a:srgbClr val="9BBB59"/>
              </a:solidFill>
              <a:ln w="19050">
                <a:solidFill>
                  <a:srgbClr val="FFFFFF"/>
                </a:solidFill>
              </a:ln>
              <a:effectLst/>
            </c:spPr>
          </c:dPt>
          <c:dPt>
            <c:idx val="3"/>
            <c:bubble3D val="false"/>
            <c:spPr>
              <a:solidFill>
                <a:srgbClr val="8064A2"/>
              </a:solidFill>
              <a:ln w="19050">
                <a:solidFill>
                  <a:srgbClr val="FFFFFF"/>
                </a:solidFill>
              </a:ln>
              <a:effectLst/>
            </c:spPr>
          </c:dPt>
          <c:dPt>
            <c:idx val="4"/>
            <c:bubble3D val="false"/>
            <c:spPr>
              <a:solidFill>
                <a:srgbClr val="4BACC6"/>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strRef>
              <c:f>[图.xlsx]房管!$A$13:$A$17</c:f>
              <c:strCache>
                <c:ptCount val="5"/>
                <c:pt idx="0">
                  <c:v>基本支出</c:v>
                </c:pt>
                <c:pt idx="1">
                  <c:v>项目支出</c:v>
                </c:pt>
                <c:pt idx="2">
                  <c:v>上缴上级支出</c:v>
                </c:pt>
                <c:pt idx="3">
                  <c:v>经营支出</c:v>
                </c:pt>
                <c:pt idx="4">
                  <c:v>对附属单位补助支出</c:v>
                </c:pt>
              </c:strCache>
            </c:strRef>
          </c:cat>
          <c:val>
            <c:numRef>
              <c:f>[图.xlsx]房管!$B$13:$B$17</c:f>
              <c:numCache>
                <c:formatCode>#,##0.00</c:formatCode>
                <c:ptCount val="5"/>
                <c:pt idx="0">
                  <c:v>344.94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false"/>
    <c:plotArea>
      <c:layout/>
      <c:barChart>
        <c:barDir val="col"/>
        <c:grouping val="clustered"/>
        <c:varyColors val="false"/>
        <c:ser>
          <c:idx val="0"/>
          <c:order val="0"/>
          <c:tx>
            <c:strRef>
              <c:f>[图.xlsx]房管!$B$46</c:f>
              <c:strCache>
                <c:ptCount val="1"/>
                <c:pt idx="0">
                  <c:v>财政拨款收、支决算总计变动情况</c:v>
                </c:pt>
              </c:strCache>
            </c:strRef>
          </c:tx>
          <c:spPr>
            <a:solidFill>
              <a:srgbClr val="4F81BD"/>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numRef>
              <c:f>[图.xlsx]房管!$A$47:$A$48</c:f>
              <c:numCache>
                <c:formatCode>General</c:formatCode>
                <c:ptCount val="2"/>
                <c:pt idx="0">
                  <c:v>2019</c:v>
                </c:pt>
                <c:pt idx="1">
                  <c:v>2020</c:v>
                </c:pt>
              </c:numCache>
            </c:numRef>
          </c:cat>
          <c:val>
            <c:numRef>
              <c:f>[图.xlsx]房管!$B$47:$B$48</c:f>
              <c:numCache>
                <c:formatCode>General</c:formatCode>
                <c:ptCount val="2"/>
                <c:pt idx="0">
                  <c:v>390.2</c:v>
                </c:pt>
                <c:pt idx="1">
                  <c:v>345.99</c:v>
                </c:pt>
              </c:numCache>
            </c:numRef>
          </c:val>
        </c:ser>
        <c:dLbls>
          <c:showLegendKey val="false"/>
          <c:showVal val="true"/>
          <c:showCatName val="false"/>
          <c:showSerName val="false"/>
          <c:showPercent val="false"/>
          <c:showBubbleSize val="false"/>
        </c:dLbls>
        <c:gapWidth val="219"/>
        <c:overlap val="-27"/>
        <c:axId val="444705783"/>
        <c:axId val="492427055"/>
      </c:barChart>
      <c:catAx>
        <c:axId val="444705783"/>
        <c:scaling>
          <c:orientation val="minMax"/>
        </c:scaling>
        <c:delete val="false"/>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492427055"/>
        <c:crosses val="autoZero"/>
        <c:auto val="true"/>
        <c:lblAlgn val="ctr"/>
        <c:lblOffset val="100"/>
        <c:noMultiLvlLbl val="false"/>
      </c:catAx>
      <c:valAx>
        <c:axId val="492427055"/>
        <c:scaling>
          <c:orientation val="minMax"/>
        </c:scaling>
        <c:delete val="false"/>
        <c:axPos val="l"/>
        <c:majorGridlines>
          <c:spPr>
            <a:ln w="9525" cap="flat" cmpd="sng" algn="ctr">
              <a:solidFill>
                <a:srgbClr val="D9D9D9">
                  <a:lumMod val="15000"/>
                  <a:lumOff val="85000"/>
                </a:srgb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444705783"/>
        <c:crosses val="autoZero"/>
        <c:crossBetween val="between"/>
      </c:valAx>
      <c:spPr>
        <a:noFill/>
        <a:ln>
          <a:noFill/>
        </a:ln>
        <a:effectLst/>
      </c:spPr>
    </c:plotArea>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false"/>
    <c:plotArea>
      <c:layout/>
      <c:barChart>
        <c:barDir val="col"/>
        <c:grouping val="clustered"/>
        <c:varyColors val="false"/>
        <c:ser>
          <c:idx val="0"/>
          <c:order val="0"/>
          <c:tx>
            <c:strRef>
              <c:f>[图.xlsx]房管!$B$60</c:f>
              <c:strCache>
                <c:ptCount val="1"/>
                <c:pt idx="0">
                  <c:v>一般公共预算财政拨款支出决算变动情况</c:v>
                </c:pt>
              </c:strCache>
            </c:strRef>
          </c:tx>
          <c:spPr>
            <a:solidFill>
              <a:srgbClr val="4F81BD"/>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numRef>
              <c:f>[图.xlsx]房管!$A$61:$A$62</c:f>
              <c:numCache>
                <c:formatCode>General</c:formatCode>
                <c:ptCount val="2"/>
                <c:pt idx="0">
                  <c:v>2019</c:v>
                </c:pt>
                <c:pt idx="1">
                  <c:v>2020</c:v>
                </c:pt>
              </c:numCache>
            </c:numRef>
          </c:cat>
          <c:val>
            <c:numRef>
              <c:f>[图.xlsx]房管!$B$61:$B$62</c:f>
              <c:numCache>
                <c:formatCode>General</c:formatCode>
                <c:ptCount val="2"/>
                <c:pt idx="0">
                  <c:v>301.17</c:v>
                </c:pt>
                <c:pt idx="1">
                  <c:v>344.93</c:v>
                </c:pt>
              </c:numCache>
            </c:numRef>
          </c:val>
        </c:ser>
        <c:dLbls>
          <c:showLegendKey val="false"/>
          <c:showVal val="true"/>
          <c:showCatName val="false"/>
          <c:showSerName val="false"/>
          <c:showPercent val="false"/>
          <c:showBubbleSize val="false"/>
        </c:dLbls>
        <c:gapWidth val="219"/>
        <c:overlap val="-27"/>
        <c:axId val="45687376"/>
        <c:axId val="253447614"/>
      </c:barChart>
      <c:catAx>
        <c:axId val="45687376"/>
        <c:scaling>
          <c:orientation val="minMax"/>
        </c:scaling>
        <c:delete val="false"/>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253447614"/>
        <c:crosses val="autoZero"/>
        <c:auto val="true"/>
        <c:lblAlgn val="ctr"/>
        <c:lblOffset val="100"/>
        <c:noMultiLvlLbl val="false"/>
      </c:catAx>
      <c:valAx>
        <c:axId val="253447614"/>
        <c:scaling>
          <c:orientation val="minMax"/>
        </c:scaling>
        <c:delete val="false"/>
        <c:axPos val="l"/>
        <c:majorGridlines>
          <c:spPr>
            <a:ln w="9525" cap="flat" cmpd="sng" algn="ctr">
              <a:solidFill>
                <a:srgbClr val="D9D9D9">
                  <a:lumMod val="15000"/>
                  <a:lumOff val="85000"/>
                </a:srgb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45687376"/>
        <c:crosses val="autoZero"/>
        <c:crossBetween val="between"/>
      </c:valAx>
      <c:spPr>
        <a:noFill/>
        <a:ln>
          <a:noFill/>
        </a:ln>
        <a:effectLst/>
      </c:spPr>
    </c:plotArea>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false"/>
    <c:plotArea>
      <c:layout/>
      <c:pieChart>
        <c:varyColors val="true"/>
        <c:ser>
          <c:idx val="0"/>
          <c:order val="0"/>
          <c:tx>
            <c:strRef>
              <c:f>[图.xlsx]房管!$B$75</c:f>
              <c:strCache>
                <c:ptCount val="1"/>
                <c:pt idx="0">
                  <c:v>一般公共预算财政拨款支出决算结构</c:v>
                </c:pt>
              </c:strCache>
            </c:strRef>
          </c:tx>
          <c:spPr/>
          <c:explosion val="0"/>
          <c:dPt>
            <c:idx val="0"/>
            <c:bubble3D val="false"/>
            <c:spPr>
              <a:solidFill>
                <a:srgbClr val="4F81BD"/>
              </a:solidFill>
              <a:ln w="19050">
                <a:solidFill>
                  <a:srgbClr val="FFFFFF"/>
                </a:solidFill>
              </a:ln>
              <a:effectLst/>
            </c:spPr>
          </c:dPt>
          <c:dPt>
            <c:idx val="1"/>
            <c:bubble3D val="false"/>
            <c:spPr>
              <a:solidFill>
                <a:srgbClr val="C0504D"/>
              </a:solidFill>
              <a:ln w="19050">
                <a:solidFill>
                  <a:srgbClr val="FFFFFF"/>
                </a:solidFill>
              </a:ln>
              <a:effectLst/>
            </c:spPr>
          </c:dPt>
          <c:dPt>
            <c:idx val="2"/>
            <c:bubble3D val="false"/>
            <c:spPr>
              <a:solidFill>
                <a:srgbClr val="9BBB59"/>
              </a:solidFill>
              <a:ln w="19050">
                <a:solidFill>
                  <a:srgbClr val="FFFFFF"/>
                </a:solidFill>
              </a:ln>
              <a:effectLst/>
            </c:spPr>
          </c:dPt>
          <c:dPt>
            <c:idx val="3"/>
            <c:bubble3D val="false"/>
            <c:spPr>
              <a:solidFill>
                <a:srgbClr val="8064A2"/>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strRef>
              <c:f>[图.xlsx]房管!$A$76:$A$79</c:f>
              <c:strCache>
                <c:ptCount val="4"/>
                <c:pt idx="0">
                  <c:v>社会保障和就业（类）支出</c:v>
                </c:pt>
                <c:pt idx="1">
                  <c:v>卫生健康（类）支出</c:v>
                </c:pt>
                <c:pt idx="2">
                  <c:v>住房保障（类）支出</c:v>
                </c:pt>
                <c:pt idx="3">
                  <c:v>城乡社区（类）支出</c:v>
                </c:pt>
              </c:strCache>
            </c:strRef>
          </c:cat>
          <c:val>
            <c:numRef>
              <c:f>[图.xlsx]房管!$B$76:$B$79</c:f>
              <c:numCache>
                <c:formatCode>General</c:formatCode>
                <c:ptCount val="4"/>
                <c:pt idx="0">
                  <c:v>21.69</c:v>
                </c:pt>
                <c:pt idx="1">
                  <c:v>11.43</c:v>
                </c:pt>
                <c:pt idx="2">
                  <c:v>19.49</c:v>
                </c:pt>
                <c:pt idx="3">
                  <c:v>292.32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四川省财政厅</Company>
  <Pages>26</Pages>
  <Words>8567</Words>
  <Characters>9154</Characters>
  <Lines>56</Lines>
  <Paragraphs>16</Paragraphs>
  <TotalTime>1</TotalTime>
  <ScaleCrop>false</ScaleCrop>
  <LinksUpToDate>false</LinksUpToDate>
  <CharactersWithSpaces>9233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2021-09-08T19:21:00Z</dcterms:created>
  <dc:creator>曹颖</dc:creator>
  <cp:lastModifiedBy>uos</cp:lastModifiedBy>
  <cp:lastPrinted>2021-07-30T19:56:00Z</cp:lastPrinted>
  <dcterms:modified xsi:type="dcterms:W3CDTF">2022-08-16T16:35:24Z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B3BA65941FE24F96BE4E6D4A4AC42CFA</vt:lpwstr>
  </property>
</Properties>
</file>