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hAnsi="黑体" w:eastAsia="黑体"/>
          <w:color w:val="000000"/>
          <w:szCs w:val="32"/>
        </w:rPr>
      </w:pPr>
      <w:r>
        <w:rPr>
          <w:rFonts w:hint="eastAsia" w:ascii="黑体" w:hAnsi="黑体" w:eastAsia="黑体"/>
          <w:color w:val="000000"/>
          <w:szCs w:val="32"/>
        </w:rPr>
        <w:t>附件2</w:t>
      </w:r>
    </w:p>
    <w:p>
      <w:pPr>
        <w:spacing w:line="576" w:lineRule="exact"/>
        <w:jc w:val="center"/>
        <w:rPr>
          <w:rFonts w:hint="eastAsia" w:ascii="方正小标宋_GBK" w:eastAsia="方正小标宋_GBK"/>
          <w:color w:val="000000"/>
          <w:sz w:val="42"/>
          <w:szCs w:val="44"/>
        </w:rPr>
      </w:pPr>
      <w:bookmarkStart w:id="0" w:name="_GoBack"/>
      <w:r>
        <w:rPr>
          <w:rFonts w:hint="eastAsia" w:ascii="方正小标宋_GBK" w:eastAsia="方正小标宋_GBK"/>
          <w:color w:val="000000"/>
          <w:sz w:val="42"/>
          <w:szCs w:val="44"/>
        </w:rPr>
        <w:t>湿拌砂浆企业信用等级考核评价表</w:t>
      </w:r>
    </w:p>
    <w:bookmarkEnd w:id="0"/>
    <w:tbl>
      <w:tblPr>
        <w:tblStyle w:val="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796"/>
        <w:gridCol w:w="4859"/>
        <w:gridCol w:w="936"/>
        <w:gridCol w:w="1700"/>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68" w:type="dxa"/>
            <w:gridSpan w:val="2"/>
            <w:noWrap w:val="0"/>
            <w:vAlign w:val="center"/>
          </w:tcPr>
          <w:p>
            <w:pPr>
              <w:spacing w:line="280" w:lineRule="exact"/>
              <w:jc w:val="center"/>
              <w:rPr>
                <w:rFonts w:ascii="宋体" w:hAnsi="宋体" w:eastAsia="宋体"/>
                <w:b/>
                <w:sz w:val="21"/>
                <w:szCs w:val="21"/>
              </w:rPr>
            </w:pPr>
            <w:r>
              <w:rPr>
                <w:rFonts w:hint="eastAsia" w:ascii="宋体" w:hAnsi="宋体" w:eastAsia="宋体"/>
                <w:b/>
                <w:sz w:val="21"/>
                <w:szCs w:val="21"/>
              </w:rPr>
              <w:t>评价</w:t>
            </w:r>
          </w:p>
          <w:p>
            <w:pPr>
              <w:spacing w:line="280" w:lineRule="exact"/>
              <w:jc w:val="center"/>
              <w:rPr>
                <w:rFonts w:ascii="宋体" w:hAnsi="宋体" w:eastAsia="宋体"/>
                <w:b/>
                <w:sz w:val="21"/>
                <w:szCs w:val="21"/>
              </w:rPr>
            </w:pPr>
            <w:r>
              <w:rPr>
                <w:rFonts w:hint="eastAsia" w:ascii="宋体" w:hAnsi="宋体" w:eastAsia="宋体"/>
                <w:b/>
                <w:sz w:val="21"/>
                <w:szCs w:val="21"/>
              </w:rPr>
              <w:t>类别</w:t>
            </w:r>
          </w:p>
        </w:tc>
        <w:tc>
          <w:tcPr>
            <w:tcW w:w="480" w:type="dxa"/>
            <w:noWrap w:val="0"/>
            <w:vAlign w:val="center"/>
          </w:tcPr>
          <w:p>
            <w:pPr>
              <w:spacing w:line="280" w:lineRule="exact"/>
              <w:jc w:val="center"/>
              <w:rPr>
                <w:rFonts w:ascii="宋体" w:hAnsi="宋体" w:eastAsia="宋体"/>
                <w:b/>
                <w:sz w:val="21"/>
                <w:szCs w:val="21"/>
              </w:rPr>
            </w:pPr>
            <w:r>
              <w:rPr>
                <w:rFonts w:hint="eastAsia" w:ascii="宋体" w:hAnsi="宋体" w:eastAsia="宋体"/>
                <w:b/>
                <w:sz w:val="21"/>
                <w:szCs w:val="21"/>
              </w:rPr>
              <w:t>序号</w:t>
            </w:r>
          </w:p>
        </w:tc>
        <w:tc>
          <w:tcPr>
            <w:tcW w:w="4640" w:type="dxa"/>
            <w:noWrap w:val="0"/>
            <w:vAlign w:val="center"/>
          </w:tcPr>
          <w:p>
            <w:pPr>
              <w:spacing w:line="280" w:lineRule="exact"/>
              <w:jc w:val="center"/>
              <w:rPr>
                <w:rFonts w:ascii="宋体" w:hAnsi="宋体" w:eastAsia="宋体"/>
                <w:b/>
                <w:sz w:val="21"/>
                <w:szCs w:val="21"/>
              </w:rPr>
            </w:pPr>
            <w:r>
              <w:rPr>
                <w:rFonts w:hint="eastAsia" w:ascii="宋体" w:hAnsi="宋体" w:eastAsia="宋体"/>
                <w:b/>
                <w:sz w:val="21"/>
                <w:szCs w:val="21"/>
              </w:rPr>
              <w:t>考核项目</w:t>
            </w:r>
          </w:p>
        </w:tc>
        <w:tc>
          <w:tcPr>
            <w:tcW w:w="640" w:type="dxa"/>
            <w:noWrap w:val="0"/>
            <w:vAlign w:val="center"/>
          </w:tcPr>
          <w:p>
            <w:pPr>
              <w:spacing w:line="280" w:lineRule="exact"/>
              <w:jc w:val="center"/>
              <w:rPr>
                <w:rFonts w:ascii="宋体" w:hAnsi="宋体" w:eastAsia="宋体"/>
                <w:b/>
                <w:sz w:val="21"/>
                <w:szCs w:val="21"/>
              </w:rPr>
            </w:pPr>
            <w:r>
              <w:rPr>
                <w:rFonts w:hint="eastAsia" w:ascii="宋体" w:hAnsi="宋体" w:eastAsia="宋体"/>
                <w:b/>
                <w:sz w:val="21"/>
                <w:szCs w:val="21"/>
              </w:rPr>
              <w:t>分值</w:t>
            </w:r>
          </w:p>
        </w:tc>
        <w:tc>
          <w:tcPr>
            <w:tcW w:w="1304" w:type="dxa"/>
            <w:noWrap w:val="0"/>
            <w:vAlign w:val="center"/>
          </w:tcPr>
          <w:p>
            <w:pPr>
              <w:spacing w:line="280" w:lineRule="exact"/>
              <w:jc w:val="center"/>
              <w:rPr>
                <w:rFonts w:ascii="宋体" w:hAnsi="宋体" w:eastAsia="宋体"/>
                <w:b/>
                <w:sz w:val="21"/>
                <w:szCs w:val="21"/>
              </w:rPr>
            </w:pPr>
            <w:r>
              <w:rPr>
                <w:rFonts w:hint="eastAsia" w:ascii="宋体" w:hAnsi="宋体" w:eastAsia="宋体"/>
                <w:b/>
                <w:sz w:val="21"/>
                <w:szCs w:val="21"/>
              </w:rPr>
              <w:t>评价方法</w:t>
            </w:r>
          </w:p>
        </w:tc>
        <w:tc>
          <w:tcPr>
            <w:tcW w:w="1188" w:type="dxa"/>
            <w:noWrap w:val="0"/>
            <w:vAlign w:val="center"/>
          </w:tcPr>
          <w:p>
            <w:pPr>
              <w:spacing w:line="280" w:lineRule="exact"/>
              <w:jc w:val="center"/>
              <w:rPr>
                <w:rFonts w:ascii="宋体" w:hAnsi="宋体" w:eastAsia="宋体"/>
                <w:b/>
                <w:sz w:val="21"/>
                <w:szCs w:val="21"/>
              </w:rPr>
            </w:pPr>
            <w:r>
              <w:rPr>
                <w:rFonts w:hint="eastAsia" w:ascii="宋体" w:hAnsi="宋体" w:eastAsia="宋体"/>
                <w:b/>
                <w:sz w:val="21"/>
                <w:szCs w:val="21"/>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控制项</w:t>
            </w:r>
          </w:p>
        </w:tc>
        <w:tc>
          <w:tcPr>
            <w:tcW w:w="642"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主要人员</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4640" w:type="dxa"/>
            <w:noWrap w:val="0"/>
            <w:vAlign w:val="center"/>
          </w:tcPr>
          <w:p>
            <w:pPr>
              <w:snapToGrid w:val="0"/>
              <w:spacing w:line="320" w:lineRule="exact"/>
              <w:jc w:val="left"/>
              <w:rPr>
                <w:rFonts w:ascii="宋体" w:hAnsi="宋体" w:eastAsia="宋体"/>
                <w:b/>
                <w:color w:val="000000"/>
                <w:sz w:val="21"/>
                <w:szCs w:val="21"/>
              </w:rPr>
            </w:pPr>
            <w:r>
              <w:rPr>
                <w:rFonts w:hint="eastAsia" w:ascii="宋体" w:hAnsi="宋体" w:eastAsia="宋体"/>
                <w:color w:val="000000"/>
                <w:sz w:val="21"/>
                <w:szCs w:val="21"/>
              </w:rPr>
              <w:t>技术负责人、实验室负责人、中级职称人员等执业人员资格、专业、数量不达标的</w:t>
            </w:r>
          </w:p>
        </w:tc>
        <w:tc>
          <w:tcPr>
            <w:tcW w:w="640" w:type="dxa"/>
            <w:noWrap w:val="0"/>
            <w:vAlign w:val="center"/>
          </w:tcPr>
          <w:p>
            <w:pPr>
              <w:snapToGrid w:val="0"/>
              <w:spacing w:line="320" w:lineRule="exact"/>
              <w:jc w:val="center"/>
              <w:rPr>
                <w:rFonts w:ascii="宋体" w:hAnsi="宋体" w:eastAsia="宋体"/>
                <w:color w:val="000000"/>
                <w:sz w:val="21"/>
                <w:szCs w:val="21"/>
              </w:rPr>
            </w:pPr>
            <w:r>
              <w:rPr>
                <w:rFonts w:hint="eastAsia" w:ascii="宋体" w:hAnsi="宋体" w:eastAsia="宋体"/>
                <w:color w:val="000000"/>
                <w:sz w:val="21"/>
                <w:szCs w:val="21"/>
              </w:rPr>
              <w:t>—</w:t>
            </w:r>
          </w:p>
        </w:tc>
        <w:tc>
          <w:tcPr>
            <w:tcW w:w="1304" w:type="dxa"/>
            <w:vMerge w:val="restart"/>
            <w:noWrap w:val="0"/>
            <w:vAlign w:val="center"/>
          </w:tcPr>
          <w:p>
            <w:pPr>
              <w:snapToGrid w:val="0"/>
              <w:spacing w:line="320" w:lineRule="exact"/>
              <w:jc w:val="center"/>
              <w:rPr>
                <w:rFonts w:ascii="宋体" w:hAnsi="宋体" w:eastAsia="宋体"/>
                <w:color w:val="000000"/>
                <w:sz w:val="21"/>
                <w:szCs w:val="21"/>
              </w:rPr>
            </w:pPr>
          </w:p>
          <w:p>
            <w:pPr>
              <w:snapToGrid w:val="0"/>
              <w:spacing w:line="320" w:lineRule="exact"/>
              <w:jc w:val="center"/>
              <w:rPr>
                <w:rFonts w:ascii="宋体" w:hAnsi="宋体" w:eastAsia="宋体"/>
                <w:color w:val="000000"/>
                <w:sz w:val="21"/>
                <w:szCs w:val="21"/>
              </w:rPr>
            </w:pPr>
            <w:r>
              <w:rPr>
                <w:rFonts w:hint="eastAsia" w:ascii="宋体" w:hAnsi="宋体" w:eastAsia="宋体"/>
                <w:color w:val="000000"/>
                <w:sz w:val="21"/>
                <w:szCs w:val="21"/>
              </w:rPr>
              <w:t>现场核查</w:t>
            </w:r>
          </w:p>
          <w:p>
            <w:pPr>
              <w:snapToGrid w:val="0"/>
              <w:spacing w:line="320" w:lineRule="exact"/>
              <w:jc w:val="center"/>
              <w:rPr>
                <w:rFonts w:ascii="宋体" w:hAnsi="宋体" w:eastAsia="宋体"/>
                <w:color w:val="000000"/>
                <w:sz w:val="21"/>
                <w:szCs w:val="21"/>
              </w:rPr>
            </w:pPr>
            <w:r>
              <w:rPr>
                <w:rFonts w:hint="eastAsia" w:ascii="宋体" w:hAnsi="宋体" w:eastAsia="宋体"/>
                <w:color w:val="000000"/>
                <w:sz w:val="21"/>
                <w:szCs w:val="21"/>
              </w:rPr>
              <w:t>及核查相关资料</w:t>
            </w:r>
          </w:p>
        </w:tc>
        <w:tc>
          <w:tcPr>
            <w:tcW w:w="1188"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center"/>
          </w:tcPr>
          <w:p>
            <w:pPr>
              <w:spacing w:line="320" w:lineRule="exact"/>
              <w:jc w:val="center"/>
              <w:rPr>
                <w:rFonts w:ascii="宋体" w:hAnsi="宋体" w:eastAsia="宋体"/>
                <w:sz w:val="21"/>
                <w:szCs w:val="21"/>
              </w:rPr>
            </w:pPr>
          </w:p>
        </w:tc>
        <w:tc>
          <w:tcPr>
            <w:tcW w:w="642"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技术装备</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4640" w:type="dxa"/>
            <w:noWrap w:val="0"/>
            <w:vAlign w:val="center"/>
          </w:tcPr>
          <w:p>
            <w:pPr>
              <w:snapToGrid w:val="0"/>
              <w:spacing w:line="320" w:lineRule="exact"/>
              <w:jc w:val="left"/>
              <w:rPr>
                <w:rFonts w:ascii="宋体" w:hAnsi="宋体" w:eastAsia="宋体"/>
                <w:b/>
                <w:color w:val="000000"/>
                <w:sz w:val="21"/>
                <w:szCs w:val="21"/>
              </w:rPr>
            </w:pPr>
            <w:r>
              <w:rPr>
                <w:rFonts w:hint="eastAsia" w:ascii="宋体" w:hAnsi="宋体" w:eastAsia="宋体"/>
                <w:color w:val="000000"/>
                <w:sz w:val="21"/>
                <w:szCs w:val="21"/>
              </w:rPr>
              <w:t>具有湿拌砂浆生产设备1台，且具有专项实验室和必要实验检测设备并按照规定和要求开展实验检测</w:t>
            </w:r>
          </w:p>
        </w:tc>
        <w:tc>
          <w:tcPr>
            <w:tcW w:w="640" w:type="dxa"/>
            <w:noWrap w:val="0"/>
            <w:vAlign w:val="center"/>
          </w:tcPr>
          <w:p>
            <w:pPr>
              <w:snapToGrid w:val="0"/>
              <w:spacing w:line="320" w:lineRule="exact"/>
              <w:jc w:val="center"/>
              <w:rPr>
                <w:rFonts w:ascii="宋体" w:hAnsi="宋体" w:eastAsia="宋体"/>
                <w:color w:val="000000"/>
                <w:sz w:val="21"/>
                <w:szCs w:val="21"/>
              </w:rPr>
            </w:pPr>
            <w:r>
              <w:rPr>
                <w:rFonts w:hint="eastAsia" w:ascii="宋体" w:hAnsi="宋体" w:eastAsia="宋体"/>
                <w:color w:val="000000"/>
                <w:sz w:val="21"/>
                <w:szCs w:val="21"/>
              </w:rPr>
              <w:t>—</w:t>
            </w:r>
          </w:p>
        </w:tc>
        <w:tc>
          <w:tcPr>
            <w:tcW w:w="1304" w:type="dxa"/>
            <w:vMerge w:val="continue"/>
            <w:noWrap w:val="0"/>
            <w:vAlign w:val="center"/>
          </w:tcPr>
          <w:p>
            <w:pPr>
              <w:snapToGrid w:val="0"/>
              <w:spacing w:line="320" w:lineRule="exact"/>
              <w:jc w:val="center"/>
              <w:rPr>
                <w:rFonts w:ascii="宋体" w:hAnsi="宋体" w:eastAsia="宋体"/>
                <w:color w:val="000000"/>
                <w:sz w:val="21"/>
                <w:szCs w:val="21"/>
              </w:rPr>
            </w:pPr>
          </w:p>
        </w:tc>
        <w:tc>
          <w:tcPr>
            <w:tcW w:w="1188"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center"/>
          </w:tcPr>
          <w:p>
            <w:pPr>
              <w:spacing w:line="320" w:lineRule="exact"/>
              <w:jc w:val="center"/>
              <w:rPr>
                <w:rFonts w:ascii="宋体" w:hAnsi="宋体" w:eastAsia="宋体"/>
                <w:sz w:val="21"/>
                <w:szCs w:val="21"/>
              </w:rPr>
            </w:pPr>
          </w:p>
        </w:tc>
        <w:tc>
          <w:tcPr>
            <w:tcW w:w="642"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环境保护</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w:t>
            </w:r>
          </w:p>
        </w:tc>
        <w:tc>
          <w:tcPr>
            <w:tcW w:w="4640" w:type="dxa"/>
            <w:noWrap w:val="0"/>
            <w:vAlign w:val="center"/>
          </w:tcPr>
          <w:p>
            <w:pPr>
              <w:snapToGrid w:val="0"/>
              <w:spacing w:line="320" w:lineRule="exact"/>
              <w:jc w:val="left"/>
              <w:rPr>
                <w:rFonts w:ascii="宋体" w:hAnsi="宋体" w:eastAsia="宋体"/>
                <w:b/>
                <w:color w:val="000000"/>
                <w:sz w:val="21"/>
                <w:szCs w:val="21"/>
              </w:rPr>
            </w:pPr>
            <w:r>
              <w:rPr>
                <w:rFonts w:hint="eastAsia" w:ascii="宋体" w:hAnsi="宋体" w:eastAsia="宋体"/>
                <w:color w:val="000000"/>
                <w:sz w:val="21"/>
                <w:szCs w:val="21"/>
              </w:rPr>
              <w:t>通过环境影响评价，厂址选择符合当地规划及土地使用性质，符合广元市散装水泥发展应用专项规划</w:t>
            </w:r>
          </w:p>
        </w:tc>
        <w:tc>
          <w:tcPr>
            <w:tcW w:w="640" w:type="dxa"/>
            <w:noWrap w:val="0"/>
            <w:vAlign w:val="center"/>
          </w:tcPr>
          <w:p>
            <w:pPr>
              <w:snapToGrid w:val="0"/>
              <w:spacing w:line="320" w:lineRule="exact"/>
              <w:jc w:val="center"/>
              <w:rPr>
                <w:rFonts w:ascii="宋体" w:hAnsi="宋体" w:eastAsia="宋体"/>
                <w:color w:val="000000"/>
                <w:sz w:val="21"/>
                <w:szCs w:val="21"/>
              </w:rPr>
            </w:pPr>
            <w:r>
              <w:rPr>
                <w:rFonts w:hint="eastAsia" w:ascii="宋体" w:hAnsi="宋体" w:eastAsia="宋体"/>
                <w:color w:val="000000"/>
                <w:sz w:val="21"/>
                <w:szCs w:val="21"/>
              </w:rPr>
              <w:t>—</w:t>
            </w:r>
          </w:p>
        </w:tc>
        <w:tc>
          <w:tcPr>
            <w:tcW w:w="1304" w:type="dxa"/>
            <w:vMerge w:val="continue"/>
            <w:noWrap w:val="0"/>
            <w:vAlign w:val="center"/>
          </w:tcPr>
          <w:p>
            <w:pPr>
              <w:snapToGrid w:val="0"/>
              <w:spacing w:line="320" w:lineRule="exact"/>
              <w:jc w:val="center"/>
              <w:rPr>
                <w:rFonts w:ascii="宋体" w:hAnsi="宋体" w:eastAsia="宋体"/>
                <w:color w:val="000000"/>
                <w:sz w:val="21"/>
                <w:szCs w:val="21"/>
              </w:rPr>
            </w:pPr>
          </w:p>
        </w:tc>
        <w:tc>
          <w:tcPr>
            <w:tcW w:w="1188"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企业资质</w:t>
            </w:r>
          </w:p>
        </w:tc>
        <w:tc>
          <w:tcPr>
            <w:tcW w:w="642"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人员</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技术负责人具有5年以上从事工程施工技术管理工作经历，且具有工程序列高级职称或一级注册建造师执业资格</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w:t>
            </w:r>
          </w:p>
        </w:tc>
        <w:tc>
          <w:tcPr>
            <w:tcW w:w="1304"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现场核查及核查相关资料</w:t>
            </w: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center"/>
          </w:tcPr>
          <w:p>
            <w:pPr>
              <w:spacing w:line="320" w:lineRule="exact"/>
              <w:jc w:val="center"/>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实验室负责人具有2年以上湿拌砂浆实验室工作经历，且具有工程序列中级以上职称或注册建造师执业资格</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center"/>
          </w:tcPr>
          <w:p>
            <w:pPr>
              <w:spacing w:line="320" w:lineRule="exact"/>
              <w:jc w:val="center"/>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w:t>
            </w:r>
          </w:p>
        </w:tc>
        <w:tc>
          <w:tcPr>
            <w:tcW w:w="4640" w:type="dxa"/>
            <w:noWrap w:val="0"/>
            <w:vAlign w:val="center"/>
          </w:tcPr>
          <w:p>
            <w:pPr>
              <w:snapToGrid w:val="0"/>
              <w:spacing w:line="320" w:lineRule="exact"/>
              <w:jc w:val="left"/>
              <w:rPr>
                <w:rFonts w:hint="eastAsia" w:ascii="宋体" w:hAnsi="宋体" w:eastAsia="宋体"/>
                <w:color w:val="000000"/>
                <w:sz w:val="21"/>
                <w:szCs w:val="21"/>
              </w:rPr>
            </w:pPr>
            <w:r>
              <w:rPr>
                <w:rFonts w:hint="eastAsia" w:ascii="宋体" w:hAnsi="宋体" w:eastAsia="宋体"/>
                <w:color w:val="000000"/>
                <w:sz w:val="21"/>
                <w:szCs w:val="21"/>
              </w:rPr>
              <w:t>专业专职试验技术人员不少于2人</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center"/>
          </w:tcPr>
          <w:p>
            <w:pPr>
              <w:spacing w:line="320" w:lineRule="exact"/>
              <w:jc w:val="center"/>
              <w:rPr>
                <w:rFonts w:ascii="宋体" w:hAnsi="宋体" w:eastAsia="宋体"/>
                <w:sz w:val="21"/>
                <w:szCs w:val="21"/>
              </w:rPr>
            </w:pPr>
          </w:p>
        </w:tc>
        <w:tc>
          <w:tcPr>
            <w:tcW w:w="642"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车辆</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4</w:t>
            </w:r>
          </w:p>
        </w:tc>
        <w:tc>
          <w:tcPr>
            <w:tcW w:w="4640" w:type="dxa"/>
            <w:noWrap w:val="0"/>
            <w:vAlign w:val="center"/>
          </w:tcPr>
          <w:p>
            <w:pPr>
              <w:snapToGrid w:val="0"/>
              <w:spacing w:line="320" w:lineRule="exact"/>
              <w:jc w:val="left"/>
              <w:rPr>
                <w:rFonts w:hint="eastAsia" w:ascii="宋体" w:hAnsi="宋体" w:eastAsia="宋体"/>
                <w:color w:val="000000"/>
                <w:sz w:val="21"/>
                <w:szCs w:val="21"/>
              </w:rPr>
            </w:pPr>
            <w:r>
              <w:rPr>
                <w:rFonts w:hint="eastAsia" w:ascii="宋体" w:hAnsi="宋体" w:eastAsia="宋体"/>
                <w:color w:val="000000"/>
                <w:sz w:val="21"/>
                <w:szCs w:val="21"/>
              </w:rPr>
              <w:t>砂浆运输设备不少于2辆，且安装定位控制系统</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noWrap w:val="0"/>
            <w:vAlign w:val="center"/>
          </w:tcPr>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ascii="宋体" w:hAnsi="宋体" w:eastAsia="宋体"/>
                <w:sz w:val="21"/>
                <w:szCs w:val="21"/>
              </w:rPr>
            </w:pPr>
            <w:r>
              <w:rPr>
                <w:rFonts w:hint="eastAsia" w:ascii="宋体" w:hAnsi="宋体" w:eastAsia="宋体"/>
                <w:sz w:val="21"/>
                <w:szCs w:val="21"/>
              </w:rPr>
              <w:t>环境保护</w:t>
            </w:r>
          </w:p>
        </w:tc>
        <w:tc>
          <w:tcPr>
            <w:tcW w:w="642"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站区布局</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5</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避开环境敏感区，远离居民集中区</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现场核查</w:t>
            </w: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6</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生产区、办公区及生活区独立布置</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7</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站区进出口设环卫和清洗设施</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8</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站区主要道路及作业区道路为硬化地面</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9</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仓库或堆场符合贮用合一原则</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10</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站区设置雨水、生产性废水收集池</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restart"/>
            <w:noWrap w:val="0"/>
            <w:vAlign w:val="center"/>
          </w:tcPr>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ascii="宋体" w:hAnsi="宋体" w:eastAsia="宋体"/>
                <w:sz w:val="21"/>
                <w:szCs w:val="21"/>
              </w:rPr>
            </w:pPr>
            <w:r>
              <w:rPr>
                <w:rFonts w:hint="eastAsia" w:ascii="宋体" w:hAnsi="宋体" w:eastAsia="宋体"/>
                <w:sz w:val="21"/>
                <w:szCs w:val="21"/>
              </w:rPr>
              <w:t>设备设施</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11</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环保设施建设验收合格</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restart"/>
            <w:noWrap w:val="0"/>
            <w:vAlign w:val="center"/>
          </w:tcPr>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ascii="宋体" w:hAnsi="宋体" w:eastAsia="宋体"/>
                <w:sz w:val="21"/>
                <w:szCs w:val="21"/>
              </w:rPr>
            </w:pPr>
            <w:r>
              <w:rPr>
                <w:rFonts w:hint="eastAsia" w:ascii="宋体" w:hAnsi="宋体" w:eastAsia="宋体"/>
                <w:sz w:val="21"/>
                <w:szCs w:val="21"/>
              </w:rPr>
              <w:t>现场核查及核查相关资料</w:t>
            </w: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12</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搅拌楼主体生产环节实施密闭</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13</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搅拌楼内部采用防尘的采光设备</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14</w:t>
            </w:r>
          </w:p>
        </w:tc>
        <w:tc>
          <w:tcPr>
            <w:tcW w:w="4640" w:type="dxa"/>
            <w:noWrap w:val="0"/>
            <w:vAlign w:val="center"/>
          </w:tcPr>
          <w:p>
            <w:pPr>
              <w:snapToGrid w:val="0"/>
              <w:spacing w:line="320" w:lineRule="exact"/>
              <w:jc w:val="left"/>
              <w:rPr>
                <w:rFonts w:ascii="宋体" w:hAnsi="宋体" w:eastAsia="宋体"/>
                <w:color w:val="000000"/>
                <w:sz w:val="21"/>
                <w:szCs w:val="21"/>
              </w:rPr>
            </w:pPr>
            <w:r>
              <w:rPr>
                <w:rFonts w:hint="eastAsia" w:ascii="宋体" w:hAnsi="宋体" w:eastAsia="宋体"/>
                <w:color w:val="000000"/>
                <w:sz w:val="21"/>
                <w:szCs w:val="21"/>
              </w:rPr>
              <w:t>砂</w:t>
            </w:r>
            <w:r>
              <w:rPr>
                <w:rFonts w:ascii="宋体" w:hAnsi="宋体" w:eastAsia="宋体"/>
                <w:color w:val="000000"/>
                <w:sz w:val="21"/>
                <w:szCs w:val="21"/>
              </w:rPr>
              <w:t>堆场封闭</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15</w:t>
            </w:r>
          </w:p>
        </w:tc>
        <w:tc>
          <w:tcPr>
            <w:tcW w:w="4640" w:type="dxa"/>
            <w:noWrap w:val="0"/>
            <w:vAlign w:val="center"/>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砂</w:t>
            </w:r>
            <w:r>
              <w:rPr>
                <w:rFonts w:hint="eastAsia" w:ascii="宋体" w:hAnsi="宋体" w:eastAsia="宋体"/>
                <w:color w:val="000000"/>
                <w:sz w:val="21"/>
                <w:szCs w:val="21"/>
              </w:rPr>
              <w:t>、水泥</w:t>
            </w:r>
            <w:r>
              <w:rPr>
                <w:rFonts w:ascii="宋体" w:hAnsi="宋体" w:eastAsia="宋体"/>
                <w:color w:val="000000"/>
                <w:sz w:val="21"/>
                <w:szCs w:val="21"/>
              </w:rPr>
              <w:t>配料仓加装降尘装置</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16</w:t>
            </w:r>
          </w:p>
        </w:tc>
        <w:tc>
          <w:tcPr>
            <w:tcW w:w="4640" w:type="dxa"/>
            <w:noWrap w:val="0"/>
            <w:vAlign w:val="center"/>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砂输送皮带廊上部封闭</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top"/>
          </w:tcPr>
          <w:p>
            <w:pPr>
              <w:spacing w:line="320" w:lineRule="exact"/>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17</w:t>
            </w:r>
          </w:p>
        </w:tc>
        <w:tc>
          <w:tcPr>
            <w:tcW w:w="4640" w:type="dxa"/>
            <w:noWrap w:val="0"/>
            <w:vAlign w:val="center"/>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砂输送皮带廊下部有收料装置</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top"/>
          </w:tcPr>
          <w:p>
            <w:pPr>
              <w:spacing w:line="320" w:lineRule="exact"/>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18</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搅拌主机、简仓使用集尘设施除尘</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top"/>
          </w:tcPr>
          <w:p>
            <w:pPr>
              <w:spacing w:line="320" w:lineRule="exact"/>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19</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筒仓不得有直接通向大气环境的出口</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top"/>
          </w:tcPr>
          <w:p>
            <w:pPr>
              <w:spacing w:line="320" w:lineRule="exact"/>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20</w:t>
            </w:r>
          </w:p>
        </w:tc>
        <w:tc>
          <w:tcPr>
            <w:tcW w:w="4640" w:type="dxa"/>
            <w:noWrap w:val="0"/>
            <w:vAlign w:val="top"/>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粉料仓有料位控制系统</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top"/>
          </w:tcPr>
          <w:p>
            <w:pPr>
              <w:spacing w:line="320" w:lineRule="exact"/>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21</w:t>
            </w:r>
          </w:p>
        </w:tc>
        <w:tc>
          <w:tcPr>
            <w:tcW w:w="4640" w:type="dxa"/>
            <w:noWrap w:val="0"/>
            <w:vAlign w:val="top"/>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有废</w:t>
            </w:r>
            <w:r>
              <w:rPr>
                <w:rFonts w:hint="eastAsia" w:ascii="宋体" w:hAnsi="宋体" w:eastAsia="宋体"/>
                <w:color w:val="000000"/>
                <w:sz w:val="21"/>
                <w:szCs w:val="21"/>
              </w:rPr>
              <w:t>砂浆</w:t>
            </w:r>
            <w:r>
              <w:rPr>
                <w:rFonts w:ascii="宋体" w:hAnsi="宋体" w:eastAsia="宋体"/>
                <w:color w:val="000000"/>
                <w:sz w:val="21"/>
                <w:szCs w:val="21"/>
              </w:rPr>
              <w:t>回收设备和使用记录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top"/>
          </w:tcPr>
          <w:p>
            <w:pPr>
              <w:spacing w:line="320" w:lineRule="exact"/>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22</w:t>
            </w:r>
          </w:p>
        </w:tc>
        <w:tc>
          <w:tcPr>
            <w:tcW w:w="4640" w:type="dxa"/>
            <w:noWrap w:val="0"/>
            <w:vAlign w:val="top"/>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配备车辆的清洗设备和使用记录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top"/>
          </w:tcPr>
          <w:p>
            <w:pPr>
              <w:spacing w:line="320" w:lineRule="exact"/>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23</w:t>
            </w:r>
          </w:p>
        </w:tc>
        <w:tc>
          <w:tcPr>
            <w:tcW w:w="4640" w:type="dxa"/>
            <w:noWrap w:val="0"/>
            <w:vAlign w:val="top"/>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有废水、污水沉淀处理设备实施和循环利用和使用记录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环境建设</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24</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围墙四周、生活区、办公区内未硬化的裸土空地应设置绿化</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现场核查及核查相关资料</w:t>
            </w: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25</w:t>
            </w:r>
          </w:p>
        </w:tc>
        <w:tc>
          <w:tcPr>
            <w:tcW w:w="4640" w:type="dxa"/>
            <w:noWrap w:val="0"/>
            <w:vAlign w:val="top"/>
          </w:tcPr>
          <w:p>
            <w:pPr>
              <w:snapToGrid w:val="0"/>
              <w:spacing w:line="320" w:lineRule="exact"/>
              <w:jc w:val="left"/>
              <w:rPr>
                <w:rFonts w:hint="eastAsia" w:ascii="宋体" w:hAnsi="宋体" w:eastAsia="宋体"/>
                <w:color w:val="000000"/>
                <w:sz w:val="21"/>
                <w:szCs w:val="21"/>
              </w:rPr>
            </w:pPr>
            <w:r>
              <w:rPr>
                <w:rFonts w:hint="eastAsia" w:ascii="宋体" w:hAnsi="宋体" w:eastAsia="宋体"/>
                <w:color w:val="000000"/>
                <w:sz w:val="21"/>
                <w:szCs w:val="21"/>
              </w:rPr>
              <w:t>生产性废水、废浆处理符合要求</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26</w:t>
            </w:r>
          </w:p>
        </w:tc>
        <w:tc>
          <w:tcPr>
            <w:tcW w:w="4640" w:type="dxa"/>
            <w:noWrap w:val="0"/>
            <w:vAlign w:val="top"/>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噪声控制符合要求</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27</w:t>
            </w:r>
          </w:p>
        </w:tc>
        <w:tc>
          <w:tcPr>
            <w:tcW w:w="4640" w:type="dxa"/>
            <w:noWrap w:val="0"/>
            <w:vAlign w:val="top"/>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生产性粉尘处理和控制符合要求</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28</w:t>
            </w:r>
          </w:p>
        </w:tc>
        <w:tc>
          <w:tcPr>
            <w:tcW w:w="4640" w:type="dxa"/>
            <w:noWrap w:val="0"/>
            <w:vAlign w:val="top"/>
          </w:tcPr>
          <w:p>
            <w:pPr>
              <w:snapToGrid w:val="0"/>
              <w:spacing w:line="320" w:lineRule="exact"/>
              <w:jc w:val="left"/>
              <w:rPr>
                <w:rFonts w:ascii="宋体" w:hAnsi="宋体" w:eastAsia="宋体"/>
                <w:color w:val="000000"/>
                <w:sz w:val="21"/>
                <w:szCs w:val="21"/>
              </w:rPr>
            </w:pPr>
            <w:r>
              <w:rPr>
                <w:rFonts w:hint="eastAsia" w:ascii="宋体" w:hAnsi="宋体" w:eastAsia="宋体"/>
                <w:color w:val="000000"/>
                <w:sz w:val="21"/>
                <w:szCs w:val="21"/>
              </w:rPr>
              <w:t>危废处置合法合规</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29</w:t>
            </w:r>
          </w:p>
        </w:tc>
        <w:tc>
          <w:tcPr>
            <w:tcW w:w="4640" w:type="dxa"/>
            <w:noWrap w:val="0"/>
            <w:vAlign w:val="top"/>
          </w:tcPr>
          <w:p>
            <w:pPr>
              <w:snapToGrid w:val="0"/>
              <w:spacing w:line="320" w:lineRule="exact"/>
              <w:jc w:val="left"/>
              <w:rPr>
                <w:rFonts w:ascii="宋体" w:hAnsi="宋体" w:eastAsia="宋体"/>
                <w:color w:val="000000"/>
                <w:sz w:val="21"/>
                <w:szCs w:val="21"/>
              </w:rPr>
            </w:pPr>
            <w:r>
              <w:rPr>
                <w:rFonts w:hint="eastAsia" w:ascii="宋体" w:hAnsi="宋体" w:eastAsia="宋体"/>
                <w:color w:val="000000"/>
                <w:sz w:val="21"/>
                <w:szCs w:val="21"/>
              </w:rPr>
              <w:t>有粉尘和噪音在线</w:t>
            </w:r>
            <w:r>
              <w:rPr>
                <w:rFonts w:ascii="宋体" w:hAnsi="宋体" w:eastAsia="宋体"/>
                <w:color w:val="000000"/>
                <w:sz w:val="21"/>
                <w:szCs w:val="21"/>
              </w:rPr>
              <w:t>实时监测设备及相应记录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top"/>
          </w:tcPr>
          <w:p>
            <w:pPr>
              <w:spacing w:line="320" w:lineRule="exact"/>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30</w:t>
            </w:r>
          </w:p>
        </w:tc>
        <w:tc>
          <w:tcPr>
            <w:tcW w:w="4640" w:type="dxa"/>
            <w:noWrap w:val="0"/>
            <w:vAlign w:val="center"/>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废水、废浆排放监测和记录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top"/>
          </w:tcPr>
          <w:p>
            <w:pPr>
              <w:spacing w:line="320" w:lineRule="exact"/>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31</w:t>
            </w:r>
          </w:p>
        </w:tc>
        <w:tc>
          <w:tcPr>
            <w:tcW w:w="4640" w:type="dxa"/>
            <w:noWrap w:val="0"/>
            <w:vAlign w:val="center"/>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除尘、降噪、废水处理设施定期检查和维护</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top"/>
          </w:tcPr>
          <w:p>
            <w:pPr>
              <w:spacing w:line="320" w:lineRule="exact"/>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32</w:t>
            </w:r>
          </w:p>
        </w:tc>
        <w:tc>
          <w:tcPr>
            <w:tcW w:w="4640" w:type="dxa"/>
            <w:noWrap w:val="0"/>
            <w:vAlign w:val="center"/>
          </w:tcPr>
          <w:p>
            <w:pPr>
              <w:snapToGrid w:val="0"/>
              <w:spacing w:line="320" w:lineRule="exact"/>
              <w:rPr>
                <w:rFonts w:ascii="宋体" w:hAnsi="宋体" w:eastAsia="宋体"/>
                <w:color w:val="000000"/>
                <w:sz w:val="21"/>
                <w:szCs w:val="21"/>
              </w:rPr>
            </w:pPr>
            <w:r>
              <w:rPr>
                <w:rFonts w:hint="eastAsia" w:ascii="宋体" w:hAnsi="宋体" w:eastAsia="宋体"/>
                <w:color w:val="000000"/>
                <w:sz w:val="21"/>
                <w:szCs w:val="21"/>
              </w:rPr>
              <w:t>自检和第三方监测的频次资料完备</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再生资源利用</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33</w:t>
            </w:r>
          </w:p>
        </w:tc>
        <w:tc>
          <w:tcPr>
            <w:tcW w:w="4640" w:type="dxa"/>
            <w:noWrap w:val="0"/>
            <w:vAlign w:val="center"/>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生产性废水零排放</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现场核查及核查相关资料</w:t>
            </w: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34</w:t>
            </w:r>
          </w:p>
        </w:tc>
        <w:tc>
          <w:tcPr>
            <w:tcW w:w="4640" w:type="dxa"/>
            <w:noWrap w:val="0"/>
            <w:vAlign w:val="center"/>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废浆利用</w:t>
            </w:r>
            <w:r>
              <w:rPr>
                <w:rFonts w:hint="eastAsia" w:ascii="宋体" w:hAnsi="宋体" w:eastAsia="宋体"/>
                <w:color w:val="000000"/>
                <w:sz w:val="21"/>
                <w:szCs w:val="21"/>
              </w:rPr>
              <w:t>率不低于20%</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35</w:t>
            </w:r>
          </w:p>
        </w:tc>
        <w:tc>
          <w:tcPr>
            <w:tcW w:w="4640" w:type="dxa"/>
            <w:noWrap w:val="0"/>
            <w:vAlign w:val="center"/>
          </w:tcPr>
          <w:p>
            <w:pPr>
              <w:snapToGrid w:val="0"/>
              <w:spacing w:line="320" w:lineRule="exact"/>
              <w:jc w:val="left"/>
              <w:rPr>
                <w:rFonts w:ascii="宋体" w:hAnsi="宋体" w:eastAsia="宋体"/>
                <w:color w:val="000000"/>
                <w:sz w:val="21"/>
                <w:szCs w:val="21"/>
              </w:rPr>
            </w:pPr>
            <w:r>
              <w:rPr>
                <w:rFonts w:ascii="宋体" w:hAnsi="宋体" w:eastAsia="宋体"/>
                <w:color w:val="000000"/>
                <w:sz w:val="21"/>
                <w:szCs w:val="21"/>
              </w:rPr>
              <w:t>废弃</w:t>
            </w:r>
            <w:r>
              <w:rPr>
                <w:rFonts w:hint="eastAsia" w:ascii="宋体" w:hAnsi="宋体" w:eastAsia="宋体"/>
                <w:color w:val="000000"/>
                <w:sz w:val="21"/>
                <w:szCs w:val="21"/>
              </w:rPr>
              <w:t>湿拌砂浆利用率100%</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管理</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36</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建立环保应急预案和绿色生产制度并组织培训记录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1</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质量控制</w:t>
            </w:r>
          </w:p>
        </w:tc>
        <w:tc>
          <w:tcPr>
            <w:tcW w:w="642"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硬件设备</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37</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实验室严格按照相关标准建设，实验设施设备齐全并规范摆放，有使用、维护、保养、检测记录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现场核查及核查相关资料</w:t>
            </w: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center"/>
          </w:tcPr>
          <w:p>
            <w:pPr>
              <w:spacing w:line="320" w:lineRule="exact"/>
              <w:jc w:val="center"/>
              <w:rPr>
                <w:rFonts w:ascii="宋体" w:hAnsi="宋体" w:eastAsia="宋体"/>
                <w:sz w:val="21"/>
                <w:szCs w:val="21"/>
              </w:rPr>
            </w:pPr>
          </w:p>
        </w:tc>
        <w:tc>
          <w:tcPr>
            <w:tcW w:w="642"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软件资料</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38</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建立质量安全管理体系，所有实验数据可溯源，产品质量可控</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center"/>
          </w:tcPr>
          <w:p>
            <w:pPr>
              <w:spacing w:line="320" w:lineRule="exact"/>
              <w:jc w:val="center"/>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39</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原材料按批次送检和自检并有检测台账</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center"/>
          </w:tcPr>
          <w:p>
            <w:pPr>
              <w:spacing w:line="320" w:lineRule="exact"/>
              <w:jc w:val="center"/>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40</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产品按批次送检和自检并有检测台账</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center"/>
          </w:tcPr>
          <w:p>
            <w:pPr>
              <w:spacing w:line="320" w:lineRule="exact"/>
              <w:jc w:val="center"/>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41</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不合格原材料和产品按照相关规定处理并有处理台账</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center"/>
          </w:tcPr>
          <w:p>
            <w:pPr>
              <w:spacing w:line="320" w:lineRule="exact"/>
              <w:jc w:val="center"/>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42</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所供应建设工程台账</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noWrap w:val="0"/>
            <w:vAlign w:val="center"/>
          </w:tcPr>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ascii="宋体" w:hAnsi="宋体" w:eastAsia="宋体"/>
                <w:sz w:val="21"/>
                <w:szCs w:val="21"/>
              </w:rPr>
            </w:pPr>
            <w:r>
              <w:rPr>
                <w:rFonts w:hint="eastAsia" w:ascii="宋体" w:hAnsi="宋体" w:eastAsia="宋体"/>
                <w:sz w:val="21"/>
                <w:szCs w:val="21"/>
              </w:rPr>
              <w:t>安全管理</w:t>
            </w:r>
          </w:p>
        </w:tc>
        <w:tc>
          <w:tcPr>
            <w:tcW w:w="642" w:type="dxa"/>
            <w:vMerge w:val="restart"/>
            <w:noWrap w:val="0"/>
            <w:vAlign w:val="center"/>
          </w:tcPr>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ascii="宋体" w:hAnsi="宋体" w:eastAsia="宋体"/>
                <w:sz w:val="21"/>
                <w:szCs w:val="21"/>
              </w:rPr>
            </w:pPr>
            <w:r>
              <w:rPr>
                <w:rFonts w:hint="eastAsia" w:ascii="宋体" w:hAnsi="宋体" w:eastAsia="宋体"/>
                <w:sz w:val="21"/>
                <w:szCs w:val="21"/>
              </w:rPr>
              <w:t>生产安全管理</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43</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安全风险分级管控和隐患排查治理双重预防机制落实情况</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restart"/>
            <w:noWrap w:val="0"/>
            <w:vAlign w:val="center"/>
          </w:tcPr>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hint="eastAsia" w:ascii="宋体" w:hAnsi="宋体" w:eastAsia="宋体"/>
                <w:sz w:val="21"/>
                <w:szCs w:val="21"/>
              </w:rPr>
            </w:pPr>
          </w:p>
          <w:p>
            <w:pPr>
              <w:spacing w:line="320" w:lineRule="exact"/>
              <w:jc w:val="center"/>
              <w:rPr>
                <w:rFonts w:ascii="宋体" w:hAnsi="宋体" w:eastAsia="宋体"/>
                <w:sz w:val="21"/>
                <w:szCs w:val="21"/>
              </w:rPr>
            </w:pPr>
            <w:r>
              <w:rPr>
                <w:rFonts w:hint="eastAsia" w:ascii="宋体" w:hAnsi="宋体" w:eastAsia="宋体"/>
                <w:sz w:val="21"/>
                <w:szCs w:val="21"/>
              </w:rPr>
              <w:t>现场核查及核查相关资料</w:t>
            </w: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44</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安全生产责任制、安全生产规章制度和操作规程、作业规程落实情况</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45</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重点部位防火、防泄漏措施落实情况</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46</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消防“四个能力”(检查消除火灾隐患能力、扑救初起火灾能力、组织逃生疏散能力、消防宣传教育能力)建设情况</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47</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安全设备设施维护、保养、定期检测并有相关记录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48</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站区的计量、检测和监测设备定期标定或校准</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49</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开展日常安全检查并建立安全隐患排查整治台账</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50</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从业人员受到安全生产教育、培训，取得有关安全资格证书的情况</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51</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从业人员签订劳动合同及按规定购买社保</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运输安全</w:t>
            </w:r>
          </w:p>
          <w:p>
            <w:pPr>
              <w:spacing w:line="320" w:lineRule="exact"/>
              <w:jc w:val="center"/>
              <w:rPr>
                <w:rFonts w:ascii="宋体" w:hAnsi="宋体" w:eastAsia="宋体"/>
                <w:sz w:val="21"/>
                <w:szCs w:val="21"/>
              </w:rPr>
            </w:pPr>
            <w:r>
              <w:rPr>
                <w:rFonts w:hint="eastAsia" w:ascii="宋体" w:hAnsi="宋体" w:eastAsia="宋体"/>
                <w:sz w:val="21"/>
                <w:szCs w:val="21"/>
              </w:rPr>
              <w:t>管理</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52</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建立运输车辆安全生产管理制度</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w:t>
            </w:r>
          </w:p>
        </w:tc>
        <w:tc>
          <w:tcPr>
            <w:tcW w:w="1304"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现场核查及核查相关资料</w:t>
            </w: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53</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定期开展驾驶员安全教育培训并有相关记录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54</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运输设备定期维护、保养、检测记录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55</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驾驶员签订劳动合同及按规定购买社保，建立驾驶员基础信息库</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continue"/>
            <w:noWrap w:val="0"/>
            <w:vAlign w:val="top"/>
          </w:tcPr>
          <w:p>
            <w:pPr>
              <w:spacing w:line="320" w:lineRule="exact"/>
              <w:rPr>
                <w:rFonts w:ascii="宋体" w:hAnsi="宋体" w:eastAsia="宋体"/>
                <w:sz w:val="21"/>
                <w:szCs w:val="21"/>
              </w:rPr>
            </w:pPr>
          </w:p>
        </w:tc>
        <w:tc>
          <w:tcPr>
            <w:tcW w:w="642" w:type="dxa"/>
            <w:vMerge w:val="restart"/>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应急准备</w:t>
            </w: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56</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建立安全事故应急预案并组织培训记录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3</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0"/>
            <w:vAlign w:val="top"/>
          </w:tcPr>
          <w:p>
            <w:pPr>
              <w:spacing w:line="320" w:lineRule="exact"/>
              <w:rPr>
                <w:rFonts w:ascii="宋体" w:hAnsi="宋体" w:eastAsia="宋体"/>
                <w:sz w:val="21"/>
                <w:szCs w:val="21"/>
              </w:rPr>
            </w:pPr>
          </w:p>
        </w:tc>
        <w:tc>
          <w:tcPr>
            <w:tcW w:w="642" w:type="dxa"/>
            <w:vMerge w:val="continue"/>
            <w:noWrap w:val="0"/>
            <w:vAlign w:val="center"/>
          </w:tcPr>
          <w:p>
            <w:pPr>
              <w:spacing w:line="320" w:lineRule="exact"/>
              <w:jc w:val="center"/>
              <w:rPr>
                <w:rFonts w:ascii="宋体" w:hAnsi="宋体" w:eastAsia="宋体"/>
                <w:sz w:val="21"/>
                <w:szCs w:val="21"/>
              </w:rPr>
            </w:pPr>
          </w:p>
        </w:tc>
        <w:tc>
          <w:tcPr>
            <w:tcW w:w="48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57</w:t>
            </w:r>
          </w:p>
        </w:tc>
        <w:tc>
          <w:tcPr>
            <w:tcW w:w="4640" w:type="dxa"/>
            <w:noWrap w:val="0"/>
            <w:vAlign w:val="center"/>
          </w:tcPr>
          <w:p>
            <w:pPr>
              <w:spacing w:line="320" w:lineRule="exact"/>
              <w:rPr>
                <w:rFonts w:ascii="宋体" w:hAnsi="宋体" w:eastAsia="宋体"/>
                <w:sz w:val="21"/>
                <w:szCs w:val="21"/>
              </w:rPr>
            </w:pPr>
            <w:r>
              <w:rPr>
                <w:rFonts w:hint="eastAsia" w:ascii="宋体" w:hAnsi="宋体" w:eastAsia="宋体"/>
                <w:sz w:val="21"/>
                <w:szCs w:val="21"/>
              </w:rPr>
              <w:t>储备应急物资并有使用管理记录</w:t>
            </w:r>
          </w:p>
        </w:tc>
        <w:tc>
          <w:tcPr>
            <w:tcW w:w="640" w:type="dxa"/>
            <w:noWrap w:val="0"/>
            <w:vAlign w:val="center"/>
          </w:tcPr>
          <w:p>
            <w:pPr>
              <w:spacing w:line="320" w:lineRule="exact"/>
              <w:jc w:val="center"/>
              <w:rPr>
                <w:rFonts w:ascii="宋体" w:hAnsi="宋体" w:eastAsia="宋体"/>
                <w:sz w:val="21"/>
                <w:szCs w:val="21"/>
              </w:rPr>
            </w:pPr>
            <w:r>
              <w:rPr>
                <w:rFonts w:hint="eastAsia" w:ascii="宋体" w:hAnsi="宋体" w:eastAsia="宋体"/>
                <w:sz w:val="21"/>
                <w:szCs w:val="21"/>
              </w:rPr>
              <w:t>2</w:t>
            </w:r>
          </w:p>
        </w:tc>
        <w:tc>
          <w:tcPr>
            <w:tcW w:w="1304" w:type="dxa"/>
            <w:vMerge w:val="continue"/>
            <w:noWrap w:val="0"/>
            <w:vAlign w:val="top"/>
          </w:tcPr>
          <w:p>
            <w:pPr>
              <w:spacing w:line="320" w:lineRule="exact"/>
              <w:rPr>
                <w:rFonts w:ascii="宋体" w:hAnsi="宋体" w:eastAsia="宋体"/>
                <w:sz w:val="21"/>
                <w:szCs w:val="21"/>
              </w:rPr>
            </w:pPr>
          </w:p>
        </w:tc>
        <w:tc>
          <w:tcPr>
            <w:tcW w:w="1188" w:type="dxa"/>
            <w:noWrap w:val="0"/>
            <w:vAlign w:val="top"/>
          </w:tcPr>
          <w:p>
            <w:pPr>
              <w:spacing w:line="32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8" w:type="dxa"/>
            <w:gridSpan w:val="2"/>
            <w:noWrap w:val="0"/>
            <w:vAlign w:val="center"/>
          </w:tcPr>
          <w:p>
            <w:pPr>
              <w:spacing w:line="280" w:lineRule="exact"/>
              <w:jc w:val="center"/>
              <w:rPr>
                <w:rFonts w:ascii="宋体" w:hAnsi="宋体" w:eastAsia="宋体"/>
                <w:sz w:val="21"/>
                <w:szCs w:val="21"/>
              </w:rPr>
            </w:pPr>
            <w:r>
              <w:rPr>
                <w:rFonts w:hint="eastAsia" w:ascii="宋体" w:hAnsi="宋体" w:eastAsia="宋体"/>
                <w:sz w:val="21"/>
                <w:szCs w:val="21"/>
              </w:rPr>
              <w:t>行业</w:t>
            </w:r>
          </w:p>
          <w:p>
            <w:pPr>
              <w:spacing w:line="280" w:lineRule="exact"/>
              <w:jc w:val="center"/>
              <w:rPr>
                <w:rFonts w:ascii="宋体" w:hAnsi="宋体" w:eastAsia="宋体"/>
                <w:sz w:val="21"/>
                <w:szCs w:val="21"/>
              </w:rPr>
            </w:pPr>
            <w:r>
              <w:rPr>
                <w:rFonts w:hint="eastAsia" w:ascii="宋体" w:hAnsi="宋体" w:eastAsia="宋体"/>
                <w:sz w:val="21"/>
                <w:szCs w:val="21"/>
              </w:rPr>
              <w:t>自律</w:t>
            </w:r>
          </w:p>
        </w:tc>
        <w:tc>
          <w:tcPr>
            <w:tcW w:w="480" w:type="dxa"/>
            <w:noWrap w:val="0"/>
            <w:vAlign w:val="center"/>
          </w:tcPr>
          <w:p>
            <w:pPr>
              <w:spacing w:line="280" w:lineRule="exact"/>
              <w:jc w:val="center"/>
              <w:rPr>
                <w:rFonts w:ascii="宋体" w:hAnsi="宋体" w:eastAsia="宋体"/>
                <w:sz w:val="21"/>
                <w:szCs w:val="21"/>
              </w:rPr>
            </w:pPr>
            <w:r>
              <w:rPr>
                <w:rFonts w:hint="eastAsia" w:ascii="宋体" w:hAnsi="宋体" w:eastAsia="宋体"/>
                <w:sz w:val="21"/>
                <w:szCs w:val="21"/>
              </w:rPr>
              <w:t>58</w:t>
            </w:r>
          </w:p>
        </w:tc>
        <w:tc>
          <w:tcPr>
            <w:tcW w:w="4640" w:type="dxa"/>
            <w:noWrap w:val="0"/>
            <w:vAlign w:val="center"/>
          </w:tcPr>
          <w:p>
            <w:pPr>
              <w:snapToGrid w:val="0"/>
              <w:spacing w:line="280" w:lineRule="exact"/>
              <w:rPr>
                <w:rFonts w:ascii="宋体" w:hAnsi="宋体" w:eastAsia="宋体"/>
                <w:color w:val="000000"/>
                <w:sz w:val="21"/>
                <w:szCs w:val="21"/>
              </w:rPr>
            </w:pPr>
            <w:r>
              <w:rPr>
                <w:rFonts w:hint="eastAsia" w:ascii="宋体" w:hAnsi="宋体" w:eastAsia="宋体"/>
                <w:sz w:val="21"/>
                <w:szCs w:val="21"/>
              </w:rPr>
              <w:t>企业存在掠夺性定价、商业贿赂、混淆行为、虚假宣传、侵犯商业秘密、不当奖售、诋毁商誉、网络不正当竞争7种不公平竞争情形之一，或存在恶性竞争情形的，每出现1次，扣6分</w:t>
            </w:r>
          </w:p>
        </w:tc>
        <w:tc>
          <w:tcPr>
            <w:tcW w:w="640" w:type="dxa"/>
            <w:noWrap w:val="0"/>
            <w:vAlign w:val="center"/>
          </w:tcPr>
          <w:p>
            <w:pPr>
              <w:spacing w:line="280" w:lineRule="exact"/>
              <w:jc w:val="center"/>
              <w:rPr>
                <w:rFonts w:hint="eastAsia" w:ascii="宋体" w:hAnsi="宋体" w:eastAsia="宋体"/>
                <w:sz w:val="21"/>
                <w:szCs w:val="21"/>
              </w:rPr>
            </w:pPr>
            <w:r>
              <w:rPr>
                <w:rFonts w:hint="eastAsia" w:ascii="宋体" w:hAnsi="宋体" w:eastAsia="宋体"/>
                <w:sz w:val="21"/>
                <w:szCs w:val="21"/>
              </w:rPr>
              <w:t>6</w:t>
            </w:r>
          </w:p>
        </w:tc>
        <w:tc>
          <w:tcPr>
            <w:tcW w:w="1304" w:type="dxa"/>
            <w:noWrap w:val="0"/>
            <w:vAlign w:val="center"/>
          </w:tcPr>
          <w:p>
            <w:pPr>
              <w:spacing w:line="280" w:lineRule="exact"/>
              <w:jc w:val="center"/>
              <w:rPr>
                <w:rFonts w:ascii="宋体" w:hAnsi="宋体" w:eastAsia="宋体"/>
                <w:sz w:val="21"/>
                <w:szCs w:val="21"/>
              </w:rPr>
            </w:pPr>
            <w:r>
              <w:rPr>
                <w:rFonts w:hint="eastAsia" w:ascii="宋体" w:hAnsi="宋体" w:eastAsia="宋体"/>
                <w:sz w:val="21"/>
                <w:szCs w:val="21"/>
              </w:rPr>
              <w:t>市散装水泥协会提供书面依据，报市散水中心调查核实后扣分</w:t>
            </w:r>
          </w:p>
        </w:tc>
        <w:tc>
          <w:tcPr>
            <w:tcW w:w="1188" w:type="dxa"/>
            <w:noWrap w:val="0"/>
            <w:vAlign w:val="top"/>
          </w:tcPr>
          <w:p>
            <w:pPr>
              <w:spacing w:line="28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132" w:type="dxa"/>
            <w:gridSpan w:val="6"/>
            <w:noWrap w:val="0"/>
            <w:vAlign w:val="center"/>
          </w:tcPr>
          <w:p>
            <w:pPr>
              <w:spacing w:line="280" w:lineRule="exact"/>
              <w:jc w:val="center"/>
              <w:rPr>
                <w:rFonts w:ascii="宋体" w:hAnsi="宋体" w:eastAsia="宋体"/>
                <w:sz w:val="21"/>
                <w:szCs w:val="21"/>
              </w:rPr>
            </w:pPr>
            <w:r>
              <w:rPr>
                <w:rFonts w:hint="eastAsia" w:ascii="宋体" w:hAnsi="宋体" w:eastAsia="宋体"/>
                <w:sz w:val="21"/>
                <w:szCs w:val="21"/>
              </w:rPr>
              <w:t>合计分值</w:t>
            </w:r>
          </w:p>
        </w:tc>
        <w:tc>
          <w:tcPr>
            <w:tcW w:w="1188" w:type="dxa"/>
            <w:noWrap w:val="0"/>
            <w:vAlign w:val="top"/>
          </w:tcPr>
          <w:p>
            <w:pPr>
              <w:spacing w:line="28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gridSpan w:val="2"/>
            <w:noWrap w:val="0"/>
            <w:vAlign w:val="center"/>
          </w:tcPr>
          <w:p>
            <w:pPr>
              <w:snapToGrid w:val="0"/>
              <w:spacing w:line="280" w:lineRule="exact"/>
              <w:jc w:val="center"/>
              <w:rPr>
                <w:rFonts w:ascii="宋体" w:hAnsi="宋体" w:eastAsia="宋体"/>
                <w:color w:val="000000"/>
                <w:sz w:val="21"/>
                <w:szCs w:val="21"/>
              </w:rPr>
            </w:pPr>
            <w:r>
              <w:rPr>
                <w:rFonts w:ascii="宋体" w:hAnsi="宋体" w:eastAsia="宋体"/>
                <w:color w:val="000000"/>
                <w:sz w:val="21"/>
                <w:szCs w:val="21"/>
              </w:rPr>
              <w:t>评价</w:t>
            </w:r>
          </w:p>
          <w:p>
            <w:pPr>
              <w:snapToGrid w:val="0"/>
              <w:spacing w:line="280" w:lineRule="exact"/>
              <w:jc w:val="center"/>
              <w:rPr>
                <w:rFonts w:ascii="宋体" w:hAnsi="宋体" w:eastAsia="宋体"/>
                <w:color w:val="000000"/>
                <w:sz w:val="21"/>
                <w:szCs w:val="21"/>
              </w:rPr>
            </w:pPr>
            <w:r>
              <w:rPr>
                <w:rFonts w:ascii="宋体" w:hAnsi="宋体" w:eastAsia="宋体"/>
                <w:color w:val="000000"/>
                <w:sz w:val="21"/>
                <w:szCs w:val="21"/>
              </w:rPr>
              <w:t>意见</w:t>
            </w:r>
          </w:p>
        </w:tc>
        <w:tc>
          <w:tcPr>
            <w:tcW w:w="8252" w:type="dxa"/>
            <w:gridSpan w:val="5"/>
            <w:noWrap w:val="0"/>
            <w:vAlign w:val="center"/>
          </w:tcPr>
          <w:p>
            <w:pPr>
              <w:snapToGrid w:val="0"/>
              <w:spacing w:line="280" w:lineRule="exact"/>
              <w:ind w:firstLine="420" w:firstLineChars="200"/>
              <w:rPr>
                <w:rFonts w:ascii="宋体" w:hAnsi="宋体" w:eastAsia="宋体"/>
                <w:color w:val="000000"/>
                <w:sz w:val="21"/>
                <w:szCs w:val="21"/>
                <w:u w:val="single"/>
              </w:rPr>
            </w:pPr>
          </w:p>
          <w:p>
            <w:pPr>
              <w:snapToGrid w:val="0"/>
              <w:spacing w:line="280" w:lineRule="exact"/>
              <w:ind w:firstLine="420" w:firstLineChars="200"/>
              <w:rPr>
                <w:rFonts w:ascii="宋体" w:hAnsi="宋体" w:eastAsia="宋体"/>
                <w:color w:val="000000"/>
                <w:sz w:val="21"/>
                <w:szCs w:val="21"/>
              </w:rPr>
            </w:pP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 xml:space="preserve">           </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 xml:space="preserve">     </w:t>
            </w:r>
            <w:r>
              <w:rPr>
                <w:rFonts w:hint="eastAsia" w:ascii="宋体" w:hAnsi="宋体" w:eastAsia="宋体"/>
                <w:color w:val="000000"/>
                <w:sz w:val="21"/>
                <w:szCs w:val="21"/>
              </w:rPr>
              <w:t>信用等级</w:t>
            </w:r>
            <w:r>
              <w:rPr>
                <w:rFonts w:ascii="宋体" w:hAnsi="宋体" w:eastAsia="宋体"/>
                <w:color w:val="000000"/>
                <w:sz w:val="21"/>
                <w:szCs w:val="21"/>
              </w:rPr>
              <w:t>考核评价总分值结果为</w:t>
            </w:r>
            <w:r>
              <w:rPr>
                <w:rFonts w:ascii="宋体" w:hAnsi="宋体" w:eastAsia="宋体"/>
                <w:color w:val="000000"/>
                <w:sz w:val="21"/>
                <w:szCs w:val="21"/>
                <w:u w:val="single"/>
              </w:rPr>
              <w:t xml:space="preserve">   </w:t>
            </w:r>
            <w:r>
              <w:rPr>
                <w:rFonts w:hint="eastAsia" w:ascii="宋体" w:hAnsi="宋体" w:eastAsia="宋体"/>
                <w:color w:val="000000"/>
                <w:sz w:val="21"/>
                <w:szCs w:val="21"/>
                <w:u w:val="single"/>
              </w:rPr>
              <w:t xml:space="preserve">  </w:t>
            </w:r>
            <w:r>
              <w:rPr>
                <w:rFonts w:ascii="宋体" w:hAnsi="宋体" w:eastAsia="宋体"/>
                <w:color w:val="000000"/>
                <w:sz w:val="21"/>
                <w:szCs w:val="21"/>
              </w:rPr>
              <w:t>分</w:t>
            </w:r>
            <w:r>
              <w:rPr>
                <w:rFonts w:hint="eastAsia" w:ascii="宋体" w:hAnsi="宋体" w:eastAsia="宋体"/>
                <w:color w:val="000000"/>
                <w:sz w:val="21"/>
                <w:szCs w:val="21"/>
              </w:rPr>
              <w:t>。</w:t>
            </w:r>
          </w:p>
          <w:p>
            <w:pPr>
              <w:snapToGrid w:val="0"/>
              <w:spacing w:line="280" w:lineRule="exact"/>
              <w:ind w:firstLine="3885" w:firstLineChars="1850"/>
              <w:rPr>
                <w:rFonts w:ascii="宋体" w:hAnsi="宋体" w:eastAsia="宋体"/>
                <w:color w:val="000000"/>
                <w:sz w:val="21"/>
                <w:szCs w:val="21"/>
              </w:rPr>
            </w:pPr>
          </w:p>
          <w:p>
            <w:pPr>
              <w:snapToGrid w:val="0"/>
              <w:spacing w:line="280" w:lineRule="exact"/>
              <w:ind w:firstLine="3885" w:firstLineChars="1850"/>
              <w:rPr>
                <w:rFonts w:hint="eastAsia" w:ascii="宋体" w:hAnsi="宋体" w:eastAsia="宋体"/>
                <w:color w:val="000000"/>
                <w:sz w:val="21"/>
                <w:szCs w:val="21"/>
              </w:rPr>
            </w:pPr>
          </w:p>
          <w:p>
            <w:pPr>
              <w:snapToGrid w:val="0"/>
              <w:spacing w:line="280" w:lineRule="exact"/>
              <w:ind w:firstLine="3885" w:firstLineChars="1850"/>
              <w:rPr>
                <w:rFonts w:hint="eastAsia" w:ascii="宋体" w:hAnsi="宋体" w:eastAsia="宋体"/>
                <w:color w:val="000000"/>
                <w:sz w:val="21"/>
                <w:szCs w:val="21"/>
              </w:rPr>
            </w:pPr>
          </w:p>
          <w:p>
            <w:pPr>
              <w:snapToGrid w:val="0"/>
              <w:spacing w:line="280" w:lineRule="exact"/>
              <w:ind w:firstLine="3885" w:firstLineChars="1850"/>
              <w:rPr>
                <w:rFonts w:ascii="宋体" w:hAnsi="宋体" w:eastAsia="宋体"/>
                <w:color w:val="000000"/>
                <w:sz w:val="21"/>
                <w:szCs w:val="21"/>
              </w:rPr>
            </w:pPr>
            <w:r>
              <w:rPr>
                <w:rFonts w:ascii="宋体" w:hAnsi="宋体" w:eastAsia="宋体"/>
                <w:color w:val="000000"/>
                <w:sz w:val="21"/>
                <w:szCs w:val="21"/>
              </w:rPr>
              <w:t xml:space="preserve">考核评价组组长： </w:t>
            </w:r>
            <w:r>
              <w:rPr>
                <w:rFonts w:hint="eastAsia" w:ascii="宋体" w:hAnsi="宋体" w:eastAsia="宋体"/>
                <w:color w:val="000000"/>
                <w:sz w:val="21"/>
                <w:szCs w:val="21"/>
              </w:rPr>
              <w:t xml:space="preserve"> </w:t>
            </w:r>
          </w:p>
          <w:p>
            <w:pPr>
              <w:snapToGrid w:val="0"/>
              <w:spacing w:line="280" w:lineRule="exact"/>
              <w:ind w:firstLine="6090" w:firstLineChars="2900"/>
              <w:rPr>
                <w:rFonts w:ascii="宋体" w:hAnsi="宋体" w:eastAsia="宋体"/>
                <w:color w:val="000000"/>
                <w:sz w:val="21"/>
                <w:szCs w:val="21"/>
              </w:rPr>
            </w:pPr>
            <w:r>
              <w:rPr>
                <w:rFonts w:ascii="宋体" w:hAnsi="宋体" w:eastAsia="宋体"/>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gridSpan w:val="2"/>
            <w:noWrap w:val="0"/>
            <w:vAlign w:val="center"/>
          </w:tcPr>
          <w:p>
            <w:pPr>
              <w:snapToGrid w:val="0"/>
              <w:spacing w:line="280" w:lineRule="exact"/>
              <w:jc w:val="center"/>
              <w:rPr>
                <w:rFonts w:ascii="宋体" w:hAnsi="宋体" w:eastAsia="宋体"/>
                <w:color w:val="000000"/>
                <w:sz w:val="21"/>
                <w:szCs w:val="21"/>
              </w:rPr>
            </w:pPr>
            <w:r>
              <w:rPr>
                <w:rFonts w:hint="eastAsia" w:ascii="宋体" w:hAnsi="宋体" w:eastAsia="宋体"/>
                <w:color w:val="000000"/>
                <w:sz w:val="21"/>
                <w:szCs w:val="21"/>
              </w:rPr>
              <w:t>主管</w:t>
            </w:r>
          </w:p>
          <w:p>
            <w:pPr>
              <w:snapToGrid w:val="0"/>
              <w:spacing w:line="280" w:lineRule="exact"/>
              <w:jc w:val="center"/>
              <w:rPr>
                <w:rFonts w:ascii="宋体" w:hAnsi="宋体" w:eastAsia="宋体"/>
                <w:color w:val="000000"/>
                <w:sz w:val="21"/>
                <w:szCs w:val="21"/>
              </w:rPr>
            </w:pPr>
            <w:r>
              <w:rPr>
                <w:rFonts w:hint="eastAsia" w:ascii="宋体" w:hAnsi="宋体" w:eastAsia="宋体"/>
                <w:color w:val="000000"/>
                <w:sz w:val="21"/>
                <w:szCs w:val="21"/>
              </w:rPr>
              <w:t>单位</w:t>
            </w:r>
          </w:p>
          <w:p>
            <w:pPr>
              <w:snapToGrid w:val="0"/>
              <w:spacing w:line="280" w:lineRule="exact"/>
              <w:jc w:val="center"/>
              <w:rPr>
                <w:rFonts w:ascii="宋体" w:hAnsi="宋体" w:eastAsia="宋体"/>
                <w:color w:val="000000"/>
                <w:sz w:val="21"/>
                <w:szCs w:val="21"/>
              </w:rPr>
            </w:pPr>
            <w:r>
              <w:rPr>
                <w:rFonts w:hint="eastAsia" w:ascii="宋体" w:hAnsi="宋体" w:eastAsia="宋体"/>
                <w:color w:val="000000"/>
                <w:sz w:val="21"/>
                <w:szCs w:val="21"/>
              </w:rPr>
              <w:t>意见</w:t>
            </w:r>
          </w:p>
        </w:tc>
        <w:tc>
          <w:tcPr>
            <w:tcW w:w="8252" w:type="dxa"/>
            <w:gridSpan w:val="5"/>
            <w:noWrap w:val="0"/>
            <w:vAlign w:val="center"/>
          </w:tcPr>
          <w:p>
            <w:pPr>
              <w:snapToGrid w:val="0"/>
              <w:spacing w:line="280" w:lineRule="exact"/>
              <w:jc w:val="center"/>
              <w:rPr>
                <w:rFonts w:ascii="宋体" w:hAnsi="宋体" w:eastAsia="宋体"/>
                <w:color w:val="000000"/>
                <w:sz w:val="21"/>
                <w:szCs w:val="21"/>
              </w:rPr>
            </w:pPr>
            <w:r>
              <w:rPr>
                <w:rFonts w:hint="eastAsia" w:ascii="宋体" w:hAnsi="宋体" w:eastAsia="宋体"/>
                <w:color w:val="000000"/>
                <w:sz w:val="21"/>
                <w:szCs w:val="21"/>
              </w:rPr>
              <w:t xml:space="preserve">              </w:t>
            </w:r>
          </w:p>
          <w:p>
            <w:pPr>
              <w:snapToGrid w:val="0"/>
              <w:spacing w:line="280" w:lineRule="exact"/>
              <w:jc w:val="center"/>
              <w:rPr>
                <w:rFonts w:hint="eastAsia" w:ascii="宋体" w:hAnsi="宋体" w:eastAsia="宋体"/>
                <w:color w:val="000000"/>
                <w:sz w:val="21"/>
                <w:szCs w:val="21"/>
              </w:rPr>
            </w:pPr>
          </w:p>
          <w:p>
            <w:pPr>
              <w:snapToGrid w:val="0"/>
              <w:spacing w:line="280" w:lineRule="exact"/>
              <w:jc w:val="center"/>
              <w:rPr>
                <w:rFonts w:hint="eastAsia" w:ascii="宋体" w:hAnsi="宋体" w:eastAsia="宋体"/>
                <w:color w:val="000000"/>
                <w:sz w:val="21"/>
                <w:szCs w:val="21"/>
              </w:rPr>
            </w:pPr>
          </w:p>
          <w:p>
            <w:pPr>
              <w:snapToGrid w:val="0"/>
              <w:spacing w:line="280" w:lineRule="exact"/>
              <w:jc w:val="center"/>
              <w:rPr>
                <w:rFonts w:hint="eastAsia" w:ascii="宋体" w:hAnsi="宋体" w:eastAsia="宋体"/>
                <w:color w:val="000000"/>
                <w:sz w:val="21"/>
                <w:szCs w:val="21"/>
              </w:rPr>
            </w:pPr>
          </w:p>
          <w:p>
            <w:pPr>
              <w:snapToGrid w:val="0"/>
              <w:spacing w:line="280" w:lineRule="exact"/>
              <w:jc w:val="center"/>
              <w:rPr>
                <w:rFonts w:hint="eastAsia" w:ascii="宋体" w:hAnsi="宋体" w:eastAsia="宋体"/>
                <w:color w:val="000000"/>
                <w:sz w:val="21"/>
                <w:szCs w:val="21"/>
              </w:rPr>
            </w:pPr>
          </w:p>
          <w:p>
            <w:pPr>
              <w:snapToGrid w:val="0"/>
              <w:spacing w:line="280" w:lineRule="exact"/>
              <w:jc w:val="center"/>
              <w:rPr>
                <w:rFonts w:ascii="宋体" w:hAnsi="宋体" w:eastAsia="宋体"/>
                <w:color w:val="000000"/>
                <w:sz w:val="21"/>
                <w:szCs w:val="21"/>
              </w:rPr>
            </w:pPr>
          </w:p>
          <w:p>
            <w:pPr>
              <w:snapToGrid w:val="0"/>
              <w:spacing w:line="280" w:lineRule="exact"/>
              <w:jc w:val="center"/>
              <w:rPr>
                <w:rFonts w:ascii="宋体" w:hAnsi="宋体" w:eastAsia="宋体"/>
                <w:color w:val="000000"/>
                <w:sz w:val="21"/>
                <w:szCs w:val="21"/>
              </w:rPr>
            </w:pPr>
          </w:p>
          <w:p>
            <w:pPr>
              <w:snapToGrid w:val="0"/>
              <w:spacing w:line="280" w:lineRule="exact"/>
              <w:jc w:val="center"/>
              <w:rPr>
                <w:rFonts w:ascii="宋体" w:hAnsi="宋体" w:eastAsia="宋体"/>
                <w:color w:val="000000"/>
                <w:sz w:val="21"/>
                <w:szCs w:val="21"/>
              </w:rPr>
            </w:pPr>
            <w:r>
              <w:rPr>
                <w:rFonts w:hint="eastAsia" w:ascii="宋体" w:hAnsi="宋体" w:eastAsia="宋体"/>
                <w:color w:val="000000"/>
                <w:sz w:val="21"/>
                <w:szCs w:val="21"/>
              </w:rPr>
              <w:t xml:space="preserve">                              （盖章）</w:t>
            </w:r>
          </w:p>
          <w:p>
            <w:pPr>
              <w:snapToGrid w:val="0"/>
              <w:spacing w:line="280" w:lineRule="exact"/>
              <w:jc w:val="center"/>
              <w:rPr>
                <w:rFonts w:ascii="宋体" w:hAnsi="宋体" w:eastAsia="宋体"/>
                <w:color w:val="000000"/>
                <w:sz w:val="21"/>
                <w:szCs w:val="21"/>
              </w:rPr>
            </w:pPr>
            <w:r>
              <w:rPr>
                <w:rFonts w:hint="eastAsia" w:ascii="宋体" w:hAnsi="宋体" w:eastAsia="宋体"/>
                <w:color w:val="000000"/>
                <w:sz w:val="21"/>
                <w:szCs w:val="21"/>
              </w:rPr>
              <w:t xml:space="preserve">                                                  年    月  日</w:t>
            </w:r>
          </w:p>
        </w:tc>
      </w:tr>
    </w:tbl>
    <w:p>
      <w:pPr>
        <w:rPr>
          <w:sz w:val="21"/>
          <w:szCs w:val="21"/>
        </w:rPr>
      </w:pPr>
    </w:p>
    <w:p>
      <w:pPr>
        <w:rPr>
          <w:rFonts w:hint="default"/>
          <w:lang w:val="en-US" w:eastAsia="zh-CN"/>
        </w:rPr>
      </w:pPr>
    </w:p>
    <w:sectPr>
      <w:pgSz w:w="11906" w:h="16838"/>
      <w:pgMar w:top="1440" w:right="567"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918E0"/>
    <w:rsid w:val="2BD918E0"/>
    <w:rsid w:val="3B77EF55"/>
    <w:rsid w:val="3FBE70AD"/>
    <w:rsid w:val="5C6C5736"/>
    <w:rsid w:val="6F6913C3"/>
    <w:rsid w:val="6FD3FC26"/>
    <w:rsid w:val="7775F64A"/>
    <w:rsid w:val="77FF3E2F"/>
    <w:rsid w:val="7B0F76D9"/>
    <w:rsid w:val="7DFB5679"/>
    <w:rsid w:val="7E6E1290"/>
    <w:rsid w:val="7F7F517F"/>
    <w:rsid w:val="7F7FFD32"/>
    <w:rsid w:val="AEFF45F4"/>
    <w:rsid w:val="BBFF7D37"/>
    <w:rsid w:val="C3FB3DE5"/>
    <w:rsid w:val="D1E26B28"/>
    <w:rsid w:val="DF3A3BF2"/>
    <w:rsid w:val="F3BF98DF"/>
    <w:rsid w:val="FBF3BE3E"/>
    <w:rsid w:val="FEFBC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2021-03-17T15:36:00Z</dcterms:created>
  <dc:creator>wei。</dc:creator>
  <cp:lastModifiedBy>uos</cp:lastModifiedBy>
  <dcterms:modified xsi:type="dcterms:W3CDTF">2022-01-26T09:08:23Z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