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19"/>
        <w:ind w:firstLine="0" w:firstLineChars="0"/>
        <w:jc w:val="both"/>
        <w:rPr>
          <w:rFonts w:hint="eastAsia" w:ascii="黑体" w:hAnsi="黑体" w:eastAsia="黑体"/>
          <w:b/>
          <w:color w:val="000000"/>
          <w:sz w:val="48"/>
          <w:szCs w:val="48"/>
        </w:rPr>
      </w:pPr>
    </w:p>
    <w:p>
      <w:pPr>
        <w:pStyle w:val="19"/>
        <w:ind w:firstLine="0" w:firstLineChars="0"/>
        <w:jc w:val="center"/>
        <w:rPr>
          <w:rFonts w:ascii="黑体" w:hAnsi="黑体" w:eastAsia="黑体"/>
          <w:b/>
          <w:color w:val="000000"/>
          <w:sz w:val="48"/>
          <w:szCs w:val="48"/>
        </w:rPr>
      </w:pPr>
      <w:r>
        <w:rPr>
          <w:rFonts w:hint="eastAsia" w:ascii="黑体" w:hAnsi="黑体" w:eastAsia="黑体"/>
          <w:b/>
          <w:color w:val="000000"/>
          <w:sz w:val="48"/>
          <w:szCs w:val="48"/>
        </w:rPr>
        <w:t>广元市“十四五”城乡人居环境规划</w:t>
      </w:r>
    </w:p>
    <w:p>
      <w:pPr>
        <w:pStyle w:val="19"/>
        <w:ind w:firstLine="0" w:firstLineChars="0"/>
        <w:jc w:val="center"/>
        <w:rPr>
          <w:rFonts w:ascii="黑体" w:hAnsi="黑体" w:eastAsia="黑体"/>
          <w:b/>
          <w:color w:val="000000"/>
          <w:sz w:val="52"/>
        </w:rPr>
      </w:pPr>
      <w:r>
        <w:rPr>
          <w:rFonts w:hint="eastAsia" w:ascii="黑体" w:hAnsi="黑体" w:eastAsia="黑体"/>
          <w:b/>
          <w:color w:val="000000"/>
          <w:sz w:val="52"/>
        </w:rPr>
        <w:t>（</w:t>
      </w:r>
      <w:r>
        <w:rPr>
          <w:rFonts w:hint="eastAsia" w:ascii="黑体" w:hAnsi="黑体" w:eastAsia="黑体"/>
          <w:b/>
          <w:color w:val="000000"/>
          <w:sz w:val="52"/>
          <w:lang w:eastAsia="zh-CN"/>
        </w:rPr>
        <w:t>征求意见稿</w:t>
      </w:r>
      <w:r>
        <w:rPr>
          <w:rFonts w:hint="eastAsia" w:ascii="黑体" w:hAnsi="黑体" w:eastAsia="黑体"/>
          <w:b/>
          <w:color w:val="000000"/>
          <w:sz w:val="52"/>
        </w:rPr>
        <w:t>）</w:t>
      </w:r>
    </w:p>
    <w:p>
      <w:pPr>
        <w:pStyle w:val="19"/>
        <w:ind w:firstLine="0" w:firstLineChars="0"/>
        <w:jc w:val="center"/>
        <w:rPr>
          <w:rFonts w:ascii="宋体" w:hAnsi="宋体" w:eastAsia="宋体"/>
          <w:color w:val="000000"/>
          <w:sz w:val="72"/>
        </w:rPr>
      </w:pPr>
    </w:p>
    <w:p>
      <w:pPr>
        <w:pStyle w:val="19"/>
        <w:ind w:firstLine="0" w:firstLineChars="0"/>
        <w:jc w:val="center"/>
        <w:rPr>
          <w:rFonts w:hint="eastAsia" w:ascii="宋体" w:hAnsi="宋体" w:eastAsia="宋体"/>
          <w:color w:val="000000"/>
          <w:sz w:val="72"/>
        </w:rPr>
      </w:pPr>
      <w:bookmarkStart w:id="646" w:name="_GoBack"/>
      <w:bookmarkEnd w:id="646"/>
    </w:p>
    <w:p>
      <w:pPr>
        <w:pStyle w:val="19"/>
        <w:ind w:firstLine="0" w:firstLineChars="0"/>
        <w:jc w:val="center"/>
        <w:rPr>
          <w:rFonts w:ascii="宋体" w:hAnsi="宋体" w:eastAsia="宋体"/>
          <w:color w:val="000000"/>
          <w:sz w:val="72"/>
        </w:rPr>
      </w:pPr>
    </w:p>
    <w:p>
      <w:pPr>
        <w:pStyle w:val="19"/>
        <w:ind w:firstLine="0" w:firstLineChars="0"/>
        <w:rPr>
          <w:rFonts w:ascii="宋体" w:hAnsi="宋体" w:eastAsia="宋体"/>
          <w:color w:val="000000"/>
          <w:sz w:val="56"/>
        </w:rPr>
      </w:pPr>
    </w:p>
    <w:p>
      <w:pPr>
        <w:pStyle w:val="19"/>
        <w:ind w:firstLine="0" w:firstLineChars="0"/>
        <w:rPr>
          <w:rFonts w:ascii="宋体" w:hAnsi="宋体" w:eastAsia="宋体"/>
          <w:color w:val="000000"/>
          <w:sz w:val="56"/>
        </w:rPr>
      </w:pPr>
    </w:p>
    <w:p>
      <w:pPr>
        <w:pStyle w:val="19"/>
        <w:ind w:firstLine="0" w:firstLineChars="0"/>
        <w:rPr>
          <w:rFonts w:ascii="宋体" w:hAnsi="宋体" w:eastAsia="宋体"/>
          <w:color w:val="000000"/>
          <w:sz w:val="56"/>
        </w:rPr>
      </w:pPr>
    </w:p>
    <w:p>
      <w:pPr>
        <w:pStyle w:val="19"/>
        <w:ind w:firstLine="0" w:firstLineChars="0"/>
        <w:rPr>
          <w:rFonts w:hint="eastAsia" w:ascii="宋体" w:hAnsi="宋体" w:eastAsia="宋体"/>
          <w:color w:val="000000"/>
          <w:sz w:val="56"/>
        </w:rPr>
      </w:pPr>
    </w:p>
    <w:p>
      <w:pPr>
        <w:pStyle w:val="19"/>
        <w:ind w:firstLine="0" w:firstLineChars="0"/>
        <w:rPr>
          <w:rFonts w:ascii="宋体" w:hAnsi="宋体" w:eastAsia="宋体"/>
          <w:color w:val="000000"/>
          <w:sz w:val="56"/>
        </w:rPr>
      </w:pPr>
    </w:p>
    <w:p>
      <w:pPr>
        <w:pStyle w:val="19"/>
        <w:ind w:firstLine="0" w:firstLineChars="0"/>
        <w:jc w:val="center"/>
        <w:rPr>
          <w:rFonts w:hint="eastAsia" w:ascii="宋体" w:hAnsi="宋体" w:eastAsia="宋体"/>
          <w:b/>
          <w:color w:val="000000"/>
          <w:sz w:val="40"/>
          <w:szCs w:val="40"/>
        </w:rPr>
      </w:pPr>
      <w:r>
        <w:rPr>
          <w:rFonts w:hint="eastAsia" w:ascii="宋体" w:hAnsi="宋体" w:eastAsia="宋体"/>
          <w:b/>
          <w:color w:val="000000"/>
          <w:sz w:val="40"/>
          <w:szCs w:val="40"/>
        </w:rPr>
        <w:t>广元市住房和城乡建设局</w:t>
      </w:r>
    </w:p>
    <w:p>
      <w:pPr>
        <w:pStyle w:val="19"/>
        <w:ind w:firstLine="0" w:firstLineChars="0"/>
        <w:jc w:val="center"/>
        <w:rPr>
          <w:rFonts w:ascii="宋体" w:hAnsi="宋体" w:eastAsia="宋体"/>
          <w:b/>
          <w:color w:val="000000"/>
          <w:sz w:val="40"/>
          <w:szCs w:val="40"/>
        </w:rPr>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pgNumType w:fmt="upperRoman"/>
          <w:cols w:space="720" w:num="1"/>
          <w:docGrid w:type="lines" w:linePitch="312" w:charSpace="0"/>
        </w:sectPr>
      </w:pPr>
      <w:r>
        <w:rPr>
          <w:rFonts w:hint="eastAsia" w:ascii="宋体" w:hAnsi="宋体" w:eastAsia="宋体"/>
          <w:b/>
          <w:color w:val="000000"/>
          <w:sz w:val="40"/>
          <w:szCs w:val="40"/>
        </w:rPr>
        <w:t>2</w:t>
      </w:r>
      <w:r>
        <w:rPr>
          <w:rFonts w:ascii="宋体" w:hAnsi="宋体" w:eastAsia="宋体"/>
          <w:b/>
          <w:color w:val="000000"/>
          <w:sz w:val="40"/>
          <w:szCs w:val="40"/>
        </w:rPr>
        <w:t>02</w:t>
      </w:r>
      <w:r>
        <w:rPr>
          <w:rFonts w:hint="eastAsia" w:ascii="宋体" w:hAnsi="宋体" w:eastAsia="宋体"/>
          <w:b/>
          <w:color w:val="000000"/>
          <w:sz w:val="40"/>
          <w:szCs w:val="40"/>
          <w:lang w:val="en-US" w:eastAsia="zh-CN"/>
        </w:rPr>
        <w:t>3</w:t>
      </w:r>
      <w:r>
        <w:rPr>
          <w:rFonts w:hint="eastAsia" w:ascii="宋体" w:hAnsi="宋体" w:eastAsia="宋体"/>
          <w:b/>
          <w:color w:val="000000"/>
          <w:sz w:val="40"/>
          <w:szCs w:val="40"/>
        </w:rPr>
        <w:t>年</w:t>
      </w:r>
      <w:r>
        <w:rPr>
          <w:rFonts w:ascii="宋体" w:hAnsi="宋体" w:eastAsia="宋体"/>
          <w:b/>
          <w:color w:val="000000"/>
          <w:sz w:val="40"/>
          <w:szCs w:val="40"/>
        </w:rPr>
        <w:t>1</w:t>
      </w:r>
      <w:r>
        <w:rPr>
          <w:rFonts w:hint="eastAsia" w:ascii="宋体" w:hAnsi="宋体" w:eastAsia="宋体"/>
          <w:b/>
          <w:color w:val="000000"/>
          <w:sz w:val="40"/>
          <w:szCs w:val="40"/>
        </w:rPr>
        <w:t>月</w:t>
      </w:r>
    </w:p>
    <w:p>
      <w:pPr>
        <w:pStyle w:val="20"/>
        <w:ind w:firstLine="560"/>
        <w:jc w:val="center"/>
        <w:rPr>
          <w:color w:val="auto"/>
        </w:rPr>
      </w:pPr>
      <w:r>
        <w:rPr>
          <w:color w:val="auto"/>
          <w:lang w:val="zh-CN"/>
        </w:rPr>
        <w:t>目录</w:t>
      </w:r>
    </w:p>
    <w:p>
      <w:pPr>
        <w:pStyle w:val="12"/>
        <w:tabs>
          <w:tab w:val="right" w:leader="dot" w:pos="8296"/>
        </w:tabs>
        <w:spacing w:line="240" w:lineRule="auto"/>
        <w:ind w:firstLine="400"/>
        <w:rPr>
          <w:b w:val="0"/>
          <w:bCs w:val="0"/>
          <w:caps w:val="0"/>
          <w:sz w:val="21"/>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r>
        <w:rPr>
          <w:rStyle w:val="17"/>
        </w:rPr>
        <w:fldChar w:fldCharType="begin"/>
      </w:r>
      <w:r>
        <w:rPr>
          <w:rStyle w:val="17"/>
        </w:rPr>
        <w:instrText xml:space="preserve"> </w:instrText>
      </w:r>
      <w:r>
        <w:instrText xml:space="preserve">HYPERLINK \l "_Toc119916729"</w:instrText>
      </w:r>
      <w:r>
        <w:rPr>
          <w:rStyle w:val="17"/>
        </w:rPr>
        <w:instrText xml:space="preserve"> </w:instrText>
      </w:r>
      <w:r>
        <w:rPr>
          <w:rStyle w:val="17"/>
        </w:rPr>
        <w:fldChar w:fldCharType="separate"/>
      </w:r>
      <w:r>
        <w:rPr>
          <w:rStyle w:val="17"/>
          <w:rFonts w:ascii="宋体" w:hAnsi="宋体"/>
        </w:rPr>
        <w:t>第一章 规划背景与总体要求</w:t>
      </w:r>
      <w:r>
        <w:tab/>
      </w:r>
      <w:r>
        <w:fldChar w:fldCharType="begin"/>
      </w:r>
      <w:r>
        <w:instrText xml:space="preserve"> PAGEREF _Toc119916729 \h </w:instrText>
      </w:r>
      <w:r>
        <w:fldChar w:fldCharType="separate"/>
      </w:r>
      <w:r>
        <w:t>1</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"_Toc119916730"</w:instrText>
      </w:r>
      <w:r>
        <w:rPr>
          <w:rStyle w:val="17"/>
        </w:rPr>
        <w:instrText xml:space="preserve"> </w:instrText>
      </w:r>
      <w:r>
        <w:rPr>
          <w:rStyle w:val="17"/>
        </w:rPr>
        <w:fldChar w:fldCharType="separate"/>
      </w:r>
      <w:r>
        <w:rPr>
          <w:rStyle w:val="17"/>
          <w:rFonts w:ascii="宋体" w:hAnsi="宋体"/>
        </w:rPr>
        <w:t>一、 发展基础</w:t>
      </w:r>
      <w:r>
        <w:tab/>
      </w:r>
      <w:r>
        <w:fldChar w:fldCharType="begin"/>
      </w:r>
      <w:r>
        <w:instrText xml:space="preserve"> PAGEREF _Toc119916730 \h </w:instrText>
      </w:r>
      <w:r>
        <w:fldChar w:fldCharType="separate"/>
      </w:r>
      <w:r>
        <w:t>1</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"_Toc119916731"</w:instrText>
      </w:r>
      <w:r>
        <w:rPr>
          <w:rStyle w:val="17"/>
        </w:rPr>
        <w:instrText xml:space="preserve"> </w:instrText>
      </w:r>
      <w:r>
        <w:rPr>
          <w:rStyle w:val="17"/>
        </w:rPr>
        <w:fldChar w:fldCharType="separate"/>
      </w:r>
      <w:r>
        <w:rPr>
          <w:rStyle w:val="17"/>
          <w:rFonts w:ascii="宋体" w:hAnsi="宋体"/>
        </w:rPr>
        <w:t>二、 面临的形势</w:t>
      </w:r>
      <w:r>
        <w:tab/>
      </w:r>
      <w:r>
        <w:fldChar w:fldCharType="begin"/>
      </w:r>
      <w:r>
        <w:instrText xml:space="preserve"> PAGEREF _Toc119916731 \h </w:instrText>
      </w:r>
      <w:r>
        <w:fldChar w:fldCharType="separate"/>
      </w:r>
      <w:r>
        <w:t>12</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"_Toc119916732"</w:instrText>
      </w:r>
      <w:r>
        <w:rPr>
          <w:rStyle w:val="17"/>
        </w:rPr>
        <w:instrText xml:space="preserve"> </w:instrText>
      </w:r>
      <w:r>
        <w:rPr>
          <w:rStyle w:val="17"/>
        </w:rPr>
        <w:fldChar w:fldCharType="separate"/>
      </w:r>
      <w:r>
        <w:rPr>
          <w:rStyle w:val="17"/>
          <w:rFonts w:ascii="宋体" w:hAnsi="宋体"/>
        </w:rPr>
        <w:t>三、 指导思想与基本原则</w:t>
      </w:r>
      <w:r>
        <w:tab/>
      </w:r>
      <w:r>
        <w:fldChar w:fldCharType="begin"/>
      </w:r>
      <w:r>
        <w:instrText xml:space="preserve"> PAGEREF _Toc119916732 \h </w:instrText>
      </w:r>
      <w:r>
        <w:fldChar w:fldCharType="separate"/>
      </w:r>
      <w:r>
        <w:t>15</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"_Toc119916733"</w:instrText>
      </w:r>
      <w:r>
        <w:rPr>
          <w:rStyle w:val="17"/>
        </w:rPr>
        <w:instrText xml:space="preserve"> </w:instrText>
      </w:r>
      <w:r>
        <w:rPr>
          <w:rStyle w:val="17"/>
        </w:rPr>
        <w:fldChar w:fldCharType="separate"/>
      </w:r>
      <w:r>
        <w:rPr>
          <w:rStyle w:val="17"/>
          <w:rFonts w:ascii="宋体" w:hAnsi="宋体"/>
        </w:rPr>
        <w:t>四、 规划目标</w:t>
      </w:r>
      <w:r>
        <w:tab/>
      </w:r>
      <w:r>
        <w:fldChar w:fldCharType="begin"/>
      </w:r>
      <w:r>
        <w:instrText xml:space="preserve"> PAGEREF _Toc119916733 \h </w:instrText>
      </w:r>
      <w:r>
        <w:fldChar w:fldCharType="separate"/>
      </w:r>
      <w:r>
        <w:t>16</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"_Toc119916734"</w:instrText>
      </w:r>
      <w:r>
        <w:rPr>
          <w:rStyle w:val="17"/>
        </w:rPr>
        <w:instrText xml:space="preserve"> </w:instrText>
      </w:r>
      <w:r>
        <w:rPr>
          <w:rStyle w:val="17"/>
        </w:rPr>
        <w:fldChar w:fldCharType="separate"/>
      </w:r>
      <w:r>
        <w:rPr>
          <w:rStyle w:val="17"/>
          <w:rFonts w:ascii="宋体" w:hAnsi="宋体"/>
        </w:rPr>
        <w:t>五、 规划指标</w:t>
      </w:r>
      <w:r>
        <w:tab/>
      </w:r>
      <w:r>
        <w:fldChar w:fldCharType="begin"/>
      </w:r>
      <w:r>
        <w:instrText xml:space="preserve"> PAGEREF _Toc119916734 \h </w:instrText>
      </w:r>
      <w:r>
        <w:fldChar w:fldCharType="separate"/>
      </w:r>
      <w:r>
        <w:t>18</w:t>
      </w:r>
      <w:r>
        <w:fldChar w:fldCharType="end"/>
      </w:r>
      <w:r>
        <w:rPr>
          <w:rStyle w:val="17"/>
        </w:rPr>
        <w:fldChar w:fldCharType="end"/>
      </w:r>
    </w:p>
    <w:p>
      <w:pPr>
        <w:pStyle w:val="12"/>
        <w:tabs>
          <w:tab w:val="right" w:leader="dot" w:pos="8296"/>
        </w:tabs>
        <w:spacing w:line="240" w:lineRule="auto"/>
        <w:ind w:firstLine="400"/>
        <w:rPr>
          <w:b w:val="0"/>
          <w:bCs w:val="0"/>
          <w:caps w:val="0"/>
          <w:sz w:val="21"/>
          <w:szCs w:val="22"/>
        </w:rPr>
      </w:pPr>
      <w:r>
        <w:rPr>
          <w:rStyle w:val="17"/>
        </w:rPr>
        <w:fldChar w:fldCharType="begin"/>
      </w:r>
      <w:r>
        <w:rPr>
          <w:rStyle w:val="17"/>
        </w:rPr>
        <w:instrText xml:space="preserve"> </w:instrText>
      </w:r>
      <w:r>
        <w:instrText xml:space="preserve">HYPERLINK \l "_Toc119916735"</w:instrText>
      </w:r>
      <w:r>
        <w:rPr>
          <w:rStyle w:val="17"/>
        </w:rPr>
        <w:instrText xml:space="preserve"> </w:instrText>
      </w:r>
      <w:r>
        <w:rPr>
          <w:rStyle w:val="17"/>
        </w:rPr>
        <w:fldChar w:fldCharType="separate"/>
      </w:r>
      <w:r>
        <w:rPr>
          <w:rStyle w:val="17"/>
          <w:rFonts w:ascii="宋体" w:hAnsi="宋体"/>
        </w:rPr>
        <w:t>第二章 改善城乡人居自然生态环境</w:t>
      </w:r>
      <w:r>
        <w:tab/>
      </w:r>
      <w:r>
        <w:fldChar w:fldCharType="begin"/>
      </w:r>
      <w:r>
        <w:instrText xml:space="preserve"> PAGEREF _Toc119916735 \h </w:instrText>
      </w:r>
      <w:r>
        <w:fldChar w:fldCharType="separate"/>
      </w:r>
      <w:r>
        <w:t>24</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"_Toc119916736"</w:instrText>
      </w:r>
      <w:r>
        <w:rPr>
          <w:rStyle w:val="17"/>
        </w:rPr>
        <w:instrText xml:space="preserve"> </w:instrText>
      </w:r>
      <w:r>
        <w:rPr>
          <w:rStyle w:val="17"/>
        </w:rPr>
        <w:fldChar w:fldCharType="separate"/>
      </w:r>
      <w:r>
        <w:rPr>
          <w:rStyle w:val="17"/>
          <w:rFonts w:ascii="宋体" w:hAnsi="宋体"/>
        </w:rPr>
        <w:t>一、 提升区域自然生态本底质量</w:t>
      </w:r>
      <w:r>
        <w:tab/>
      </w:r>
      <w:r>
        <w:fldChar w:fldCharType="begin"/>
      </w:r>
      <w:r>
        <w:instrText xml:space="preserve"> PAGEREF _Toc119916736 \h </w:instrText>
      </w:r>
      <w:r>
        <w:fldChar w:fldCharType="separate"/>
      </w:r>
      <w:r>
        <w:t>24</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"_Toc119916737"</w:instrText>
      </w:r>
      <w:r>
        <w:rPr>
          <w:rStyle w:val="17"/>
        </w:rPr>
        <w:instrText xml:space="preserve"> </w:instrText>
      </w:r>
      <w:r>
        <w:rPr>
          <w:rStyle w:val="17"/>
        </w:rPr>
        <w:fldChar w:fldCharType="separate"/>
      </w:r>
      <w:r>
        <w:rPr>
          <w:rStyle w:val="17"/>
          <w:rFonts w:ascii="宋体" w:hAnsi="宋体"/>
        </w:rPr>
        <w:t>二、 改善修复城市生态系统</w:t>
      </w:r>
      <w:r>
        <w:tab/>
      </w:r>
      <w:r>
        <w:fldChar w:fldCharType="begin"/>
      </w:r>
      <w:r>
        <w:instrText xml:space="preserve"> PAGEREF _Toc119916737 \h </w:instrText>
      </w:r>
      <w:r>
        <w:fldChar w:fldCharType="separate"/>
      </w:r>
      <w:r>
        <w:t>26</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"_Toc119916738"</w:instrText>
      </w:r>
      <w:r>
        <w:rPr>
          <w:rStyle w:val="17"/>
        </w:rPr>
        <w:instrText xml:space="preserve"> </w:instrText>
      </w:r>
      <w:r>
        <w:rPr>
          <w:rStyle w:val="17"/>
        </w:rPr>
        <w:fldChar w:fldCharType="separate"/>
      </w:r>
      <w:r>
        <w:rPr>
          <w:rStyle w:val="17"/>
          <w:rFonts w:ascii="宋体" w:hAnsi="宋体"/>
        </w:rPr>
        <w:t>三、 保护乡村山水田园系统</w:t>
      </w:r>
      <w:r>
        <w:tab/>
      </w:r>
      <w:r>
        <w:fldChar w:fldCharType="begin"/>
      </w:r>
      <w:r>
        <w:instrText xml:space="preserve"> PAGEREF _Toc119916738 \h </w:instrText>
      </w:r>
      <w:r>
        <w:fldChar w:fldCharType="separate"/>
      </w:r>
      <w:r>
        <w:t>29</w:t>
      </w:r>
      <w:r>
        <w:fldChar w:fldCharType="end"/>
      </w:r>
      <w:r>
        <w:rPr>
          <w:rStyle w:val="17"/>
        </w:rPr>
        <w:fldChar w:fldCharType="end"/>
      </w:r>
    </w:p>
    <w:p>
      <w:pPr>
        <w:pStyle w:val="12"/>
        <w:tabs>
          <w:tab w:val="right" w:leader="dot" w:pos="8296"/>
        </w:tabs>
        <w:spacing w:line="240" w:lineRule="auto"/>
        <w:ind w:firstLine="400"/>
        <w:rPr>
          <w:b w:val="0"/>
          <w:bCs w:val="0"/>
          <w:caps w:val="0"/>
          <w:sz w:val="21"/>
          <w:szCs w:val="22"/>
        </w:rPr>
      </w:pPr>
      <w:r>
        <w:rPr>
          <w:rStyle w:val="17"/>
        </w:rPr>
        <w:fldChar w:fldCharType="begin"/>
      </w:r>
      <w:r>
        <w:rPr>
          <w:rStyle w:val="17"/>
        </w:rPr>
        <w:instrText xml:space="preserve"> </w:instrText>
      </w:r>
      <w:r>
        <w:instrText xml:space="preserve">HYPERLINK \l "_Toc119916739"</w:instrText>
      </w:r>
      <w:r>
        <w:rPr>
          <w:rStyle w:val="17"/>
        </w:rPr>
        <w:instrText xml:space="preserve"> </w:instrText>
      </w:r>
      <w:r>
        <w:rPr>
          <w:rStyle w:val="17"/>
        </w:rPr>
        <w:fldChar w:fldCharType="separate"/>
      </w:r>
      <w:r>
        <w:rPr>
          <w:rStyle w:val="17"/>
          <w:rFonts w:ascii="宋体" w:hAnsi="宋体"/>
        </w:rPr>
        <w:t>第三章 提升城市人居环境品质</w:t>
      </w:r>
      <w:r>
        <w:tab/>
      </w:r>
      <w:r>
        <w:fldChar w:fldCharType="begin"/>
      </w:r>
      <w:r>
        <w:instrText xml:space="preserve"> PAGEREF _Toc119916739 \h </w:instrText>
      </w:r>
      <w:r>
        <w:fldChar w:fldCharType="separate"/>
      </w:r>
      <w:r>
        <w:t>31</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"_Toc119916740"</w:instrText>
      </w:r>
      <w:r>
        <w:rPr>
          <w:rStyle w:val="17"/>
        </w:rPr>
        <w:instrText xml:space="preserve"> </w:instrText>
      </w:r>
      <w:r>
        <w:rPr>
          <w:rStyle w:val="17"/>
        </w:rPr>
        <w:fldChar w:fldCharType="separate"/>
      </w:r>
      <w:r>
        <w:rPr>
          <w:rStyle w:val="17"/>
        </w:rPr>
        <w:t>一、 优化城乡人居环境空间格局</w:t>
      </w:r>
      <w:r>
        <w:tab/>
      </w:r>
      <w:r>
        <w:fldChar w:fldCharType="begin"/>
      </w:r>
      <w:r>
        <w:instrText xml:space="preserve"> PAGEREF _Toc119916740 \h </w:instrText>
      </w:r>
      <w:r>
        <w:fldChar w:fldCharType="separate"/>
      </w:r>
      <w:r>
        <w:t>31</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"_Toc119916741"</w:instrText>
      </w:r>
      <w:r>
        <w:rPr>
          <w:rStyle w:val="17"/>
        </w:rPr>
        <w:instrText xml:space="preserve"> </w:instrText>
      </w:r>
      <w:r>
        <w:rPr>
          <w:rStyle w:val="17"/>
        </w:rPr>
        <w:fldChar w:fldCharType="separate"/>
      </w:r>
      <w:r>
        <w:rPr>
          <w:rStyle w:val="17"/>
          <w:rFonts w:ascii="宋体" w:hAnsi="宋体"/>
        </w:rPr>
        <w:t>二、推进城市高品质发展</w:t>
      </w:r>
      <w:r>
        <w:tab/>
      </w:r>
      <w:r>
        <w:fldChar w:fldCharType="begin"/>
      </w:r>
      <w:r>
        <w:instrText xml:space="preserve"> PAGEREF _Toc119916741 \h </w:instrText>
      </w:r>
      <w:r>
        <w:fldChar w:fldCharType="separate"/>
      </w:r>
      <w:r>
        <w:t>35</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"_Toc119916742"</w:instrText>
      </w:r>
      <w:r>
        <w:rPr>
          <w:rStyle w:val="17"/>
        </w:rPr>
        <w:instrText xml:space="preserve"> </w:instrText>
      </w:r>
      <w:r>
        <w:rPr>
          <w:rStyle w:val="17"/>
        </w:rPr>
        <w:fldChar w:fldCharType="separate"/>
      </w:r>
      <w:r>
        <w:rPr>
          <w:rStyle w:val="17"/>
          <w:rFonts w:ascii="宋体" w:hAnsi="宋体"/>
        </w:rPr>
        <w:t>三、实施城市更新行动</w:t>
      </w:r>
      <w:r>
        <w:tab/>
      </w:r>
      <w:r>
        <w:fldChar w:fldCharType="begin"/>
      </w:r>
      <w:r>
        <w:instrText xml:space="preserve"> PAGEREF _Toc119916742 \h </w:instrText>
      </w:r>
      <w:r>
        <w:fldChar w:fldCharType="separate"/>
      </w:r>
      <w:r>
        <w:t>39</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"_Toc119916743"</w:instrText>
      </w:r>
      <w:r>
        <w:rPr>
          <w:rStyle w:val="17"/>
        </w:rPr>
        <w:instrText xml:space="preserve"> </w:instrText>
      </w:r>
      <w:r>
        <w:rPr>
          <w:rStyle w:val="17"/>
        </w:rPr>
        <w:fldChar w:fldCharType="separate"/>
      </w:r>
      <w:r>
        <w:rPr>
          <w:rStyle w:val="17"/>
          <w:rFonts w:ascii="宋体" w:hAnsi="宋体"/>
        </w:rPr>
        <w:t>四、推进公园城市建设</w:t>
      </w:r>
      <w:r>
        <w:tab/>
      </w:r>
      <w:r>
        <w:fldChar w:fldCharType="begin"/>
      </w:r>
      <w:r>
        <w:instrText xml:space="preserve"> PAGEREF _Toc119916743 \h </w:instrText>
      </w:r>
      <w:r>
        <w:fldChar w:fldCharType="separate"/>
      </w:r>
      <w:r>
        <w:t>46</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"_Toc119916744"</w:instrText>
      </w:r>
      <w:r>
        <w:rPr>
          <w:rStyle w:val="17"/>
        </w:rPr>
        <w:instrText xml:space="preserve"> </w:instrText>
      </w:r>
      <w:r>
        <w:rPr>
          <w:rStyle w:val="17"/>
        </w:rPr>
        <w:fldChar w:fldCharType="separate"/>
      </w:r>
      <w:r>
        <w:rPr>
          <w:rStyle w:val="17"/>
          <w:rFonts w:ascii="宋体" w:hAnsi="宋体"/>
        </w:rPr>
        <w:t>五、加快海绵城市建设</w:t>
      </w:r>
      <w:r>
        <w:tab/>
      </w:r>
      <w:r>
        <w:fldChar w:fldCharType="begin"/>
      </w:r>
      <w:r>
        <w:instrText xml:space="preserve"> PAGEREF _Toc119916744 \h </w:instrText>
      </w:r>
      <w:r>
        <w:fldChar w:fldCharType="separate"/>
      </w:r>
      <w:r>
        <w:t>48</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"_Toc119916745"</w:instrText>
      </w:r>
      <w:r>
        <w:rPr>
          <w:rStyle w:val="17"/>
        </w:rPr>
        <w:instrText xml:space="preserve"> </w:instrText>
      </w:r>
      <w:r>
        <w:rPr>
          <w:rStyle w:val="17"/>
        </w:rPr>
        <w:fldChar w:fldCharType="separate"/>
      </w:r>
      <w:r>
        <w:rPr>
          <w:rStyle w:val="17"/>
          <w:rFonts w:ascii="宋体" w:hAnsi="宋体"/>
        </w:rPr>
        <w:t>六、推动城市功能完善</w:t>
      </w:r>
      <w:r>
        <w:tab/>
      </w:r>
      <w:r>
        <w:fldChar w:fldCharType="begin"/>
      </w:r>
      <w:r>
        <w:instrText xml:space="preserve"> PAGEREF _Toc119916745 \h </w:instrText>
      </w:r>
      <w:r>
        <w:fldChar w:fldCharType="separate"/>
      </w:r>
      <w:r>
        <w:t>50</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"_Toc119916746"</w:instrText>
      </w:r>
      <w:r>
        <w:rPr>
          <w:rStyle w:val="17"/>
        </w:rPr>
        <w:instrText xml:space="preserve"> </w:instrText>
      </w:r>
      <w:r>
        <w:rPr>
          <w:rStyle w:val="17"/>
        </w:rPr>
        <w:fldChar w:fldCharType="separate"/>
      </w:r>
      <w:r>
        <w:rPr>
          <w:rStyle w:val="17"/>
          <w:rFonts w:ascii="宋体" w:hAnsi="宋体"/>
        </w:rPr>
        <w:t>七、强化基础设施支撑</w:t>
      </w:r>
      <w:r>
        <w:tab/>
      </w:r>
      <w:r>
        <w:fldChar w:fldCharType="begin"/>
      </w:r>
      <w:r>
        <w:instrText xml:space="preserve"> PAGEREF _Toc119916746 \h </w:instrText>
      </w:r>
      <w:r>
        <w:fldChar w:fldCharType="separate"/>
      </w:r>
      <w:r>
        <w:t>55</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"_Toc119916747"</w:instrText>
      </w:r>
      <w:r>
        <w:rPr>
          <w:rStyle w:val="17"/>
        </w:rPr>
        <w:instrText xml:space="preserve"> </w:instrText>
      </w:r>
      <w:r>
        <w:rPr>
          <w:rStyle w:val="17"/>
        </w:rPr>
        <w:fldChar w:fldCharType="separate"/>
      </w:r>
      <w:r>
        <w:rPr>
          <w:rStyle w:val="17"/>
          <w:rFonts w:ascii="宋体" w:hAnsi="宋体"/>
        </w:rPr>
        <w:t>八、加快建设完整社区</w:t>
      </w:r>
      <w:r>
        <w:tab/>
      </w:r>
      <w:r>
        <w:fldChar w:fldCharType="begin"/>
      </w:r>
      <w:r>
        <w:instrText xml:space="preserve"> PAGEREF _Toc119916747 \h </w:instrText>
      </w:r>
      <w:r>
        <w:fldChar w:fldCharType="separate"/>
      </w:r>
      <w:r>
        <w:t>70</w:t>
      </w:r>
      <w:r>
        <w:fldChar w:fldCharType="end"/>
      </w:r>
      <w:r>
        <w:rPr>
          <w:rStyle w:val="17"/>
        </w:rPr>
        <w:fldChar w:fldCharType="end"/>
      </w:r>
    </w:p>
    <w:p>
      <w:pPr>
        <w:pStyle w:val="12"/>
        <w:tabs>
          <w:tab w:val="right" w:leader="dot" w:pos="8296"/>
        </w:tabs>
        <w:spacing w:line="240" w:lineRule="auto"/>
        <w:ind w:firstLine="400"/>
        <w:rPr>
          <w:b w:val="0"/>
          <w:bCs w:val="0"/>
          <w:caps w:val="0"/>
          <w:sz w:val="21"/>
          <w:szCs w:val="22"/>
        </w:rPr>
      </w:pPr>
      <w:r>
        <w:rPr>
          <w:rStyle w:val="17"/>
        </w:rPr>
        <w:fldChar w:fldCharType="begin"/>
      </w:r>
      <w:r>
        <w:rPr>
          <w:rStyle w:val="17"/>
        </w:rPr>
        <w:instrText xml:space="preserve"> </w:instrText>
      </w:r>
      <w:r>
        <w:instrText xml:space="preserve">HYPERLINK \l "_Toc119916748"</w:instrText>
      </w:r>
      <w:r>
        <w:rPr>
          <w:rStyle w:val="17"/>
        </w:rPr>
        <w:instrText xml:space="preserve"> </w:instrText>
      </w:r>
      <w:r>
        <w:rPr>
          <w:rStyle w:val="17"/>
        </w:rPr>
        <w:fldChar w:fldCharType="separate"/>
      </w:r>
      <w:r>
        <w:rPr>
          <w:rStyle w:val="17"/>
          <w:rFonts w:ascii="宋体" w:hAnsi="宋体"/>
        </w:rPr>
        <w:t>第四章 建设宜居美丽乡村</w:t>
      </w:r>
      <w:r>
        <w:tab/>
      </w:r>
      <w:r>
        <w:fldChar w:fldCharType="begin"/>
      </w:r>
      <w:r>
        <w:instrText xml:space="preserve"> PAGEREF _Toc119916748 \h </w:instrText>
      </w:r>
      <w:r>
        <w:fldChar w:fldCharType="separate"/>
      </w:r>
      <w:r>
        <w:t>73</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"_Toc119916749"</w:instrText>
      </w:r>
      <w:r>
        <w:rPr>
          <w:rStyle w:val="17"/>
        </w:rPr>
        <w:instrText xml:space="preserve"> </w:instrText>
      </w:r>
      <w:r>
        <w:rPr>
          <w:rStyle w:val="17"/>
        </w:rPr>
        <w:fldChar w:fldCharType="separate"/>
      </w:r>
      <w:r>
        <w:rPr>
          <w:rStyle w:val="17"/>
          <w:rFonts w:ascii="宋体" w:hAnsi="宋体"/>
        </w:rPr>
        <w:t>一、推动城乡人居环境融合发展</w:t>
      </w:r>
      <w:r>
        <w:tab/>
      </w:r>
      <w:r>
        <w:fldChar w:fldCharType="begin"/>
      </w:r>
      <w:r>
        <w:instrText xml:space="preserve"> PAGEREF _Toc119916749 \h </w:instrText>
      </w:r>
      <w:r>
        <w:fldChar w:fldCharType="separate"/>
      </w:r>
      <w:r>
        <w:t>73</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"_Toc119916750"</w:instrText>
      </w:r>
      <w:r>
        <w:rPr>
          <w:rStyle w:val="17"/>
        </w:rPr>
        <w:instrText xml:space="preserve"> </w:instrText>
      </w:r>
      <w:r>
        <w:rPr>
          <w:rStyle w:val="17"/>
        </w:rPr>
        <w:fldChar w:fldCharType="separate"/>
      </w:r>
      <w:r>
        <w:rPr>
          <w:rStyle w:val="17"/>
          <w:rFonts w:ascii="宋体" w:hAnsi="宋体"/>
        </w:rPr>
        <w:t>二、提高小城镇建设质量</w:t>
      </w:r>
      <w:r>
        <w:tab/>
      </w:r>
      <w:r>
        <w:fldChar w:fldCharType="begin"/>
      </w:r>
      <w:r>
        <w:instrText xml:space="preserve"> PAGEREF _Toc119916750 \h </w:instrText>
      </w:r>
      <w:r>
        <w:fldChar w:fldCharType="separate"/>
      </w:r>
      <w:r>
        <w:t>77</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"_Toc119916751"</w:instrText>
      </w:r>
      <w:r>
        <w:rPr>
          <w:rStyle w:val="17"/>
        </w:rPr>
        <w:instrText xml:space="preserve"> </w:instrText>
      </w:r>
      <w:r>
        <w:rPr>
          <w:rStyle w:val="17"/>
        </w:rPr>
        <w:fldChar w:fldCharType="separate"/>
      </w:r>
      <w:r>
        <w:rPr>
          <w:rStyle w:val="17"/>
          <w:rFonts w:ascii="宋体" w:hAnsi="宋体"/>
        </w:rPr>
        <w:t>三、实施乡村建设行动</w:t>
      </w:r>
      <w:r>
        <w:tab/>
      </w:r>
      <w:r>
        <w:fldChar w:fldCharType="begin"/>
      </w:r>
      <w:r>
        <w:instrText xml:space="preserve"> PAGEREF _Toc119916751 \h </w:instrText>
      </w:r>
      <w:r>
        <w:fldChar w:fldCharType="separate"/>
      </w:r>
      <w:r>
        <w:t>78</w:t>
      </w:r>
      <w:r>
        <w:fldChar w:fldCharType="end"/>
      </w:r>
      <w:r>
        <w:rPr>
          <w:rStyle w:val="17"/>
        </w:rPr>
        <w:fldChar w:fldCharType="end"/>
      </w:r>
    </w:p>
    <w:p>
      <w:pPr>
        <w:pStyle w:val="12"/>
        <w:tabs>
          <w:tab w:val="right" w:leader="dot" w:pos="8296"/>
        </w:tabs>
        <w:spacing w:line="240" w:lineRule="auto"/>
        <w:ind w:firstLine="400"/>
        <w:rPr>
          <w:b w:val="0"/>
          <w:bCs w:val="0"/>
          <w:caps w:val="0"/>
          <w:sz w:val="21"/>
          <w:szCs w:val="22"/>
        </w:rPr>
      </w:pPr>
      <w:r>
        <w:rPr>
          <w:rStyle w:val="17"/>
        </w:rPr>
        <w:fldChar w:fldCharType="begin"/>
      </w:r>
      <w:r>
        <w:rPr>
          <w:rStyle w:val="17"/>
        </w:rPr>
        <w:instrText xml:space="preserve"> </w:instrText>
      </w:r>
      <w:r>
        <w:instrText xml:space="preserve">HYPERLINK \l "_Toc119916752"</w:instrText>
      </w:r>
      <w:r>
        <w:rPr>
          <w:rStyle w:val="17"/>
        </w:rPr>
        <w:instrText xml:space="preserve"> </w:instrText>
      </w:r>
      <w:r>
        <w:rPr>
          <w:rStyle w:val="17"/>
        </w:rPr>
        <w:fldChar w:fldCharType="separate"/>
      </w:r>
      <w:r>
        <w:rPr>
          <w:rStyle w:val="17"/>
          <w:rFonts w:ascii="宋体" w:hAnsi="宋体"/>
        </w:rPr>
        <w:t>第五章 推动智能建造和绿色建筑</w:t>
      </w:r>
      <w:r>
        <w:tab/>
      </w:r>
      <w:r>
        <w:fldChar w:fldCharType="begin"/>
      </w:r>
      <w:r>
        <w:instrText xml:space="preserve"> PAGEREF _Toc119916752 \h </w:instrText>
      </w:r>
      <w:r>
        <w:fldChar w:fldCharType="separate"/>
      </w:r>
      <w:r>
        <w:t>93</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"_Toc119916753"</w:instrText>
      </w:r>
      <w:r>
        <w:rPr>
          <w:rStyle w:val="17"/>
        </w:rPr>
        <w:instrText xml:space="preserve"> </w:instrText>
      </w:r>
      <w:r>
        <w:rPr>
          <w:rStyle w:val="17"/>
        </w:rPr>
        <w:fldChar w:fldCharType="separate"/>
      </w:r>
      <w:r>
        <w:rPr>
          <w:rStyle w:val="17"/>
        </w:rPr>
        <w:t>一、构建现代建筑产业体系</w:t>
      </w:r>
      <w:r>
        <w:tab/>
      </w:r>
      <w:r>
        <w:fldChar w:fldCharType="begin"/>
      </w:r>
      <w:r>
        <w:instrText xml:space="preserve"> PAGEREF _Toc119916753 \h </w:instrText>
      </w:r>
      <w:r>
        <w:fldChar w:fldCharType="separate"/>
      </w:r>
      <w:r>
        <w:t>93</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"_Toc119916754"</w:instrText>
      </w:r>
      <w:r>
        <w:rPr>
          <w:rStyle w:val="17"/>
        </w:rPr>
        <w:instrText xml:space="preserve"> </w:instrText>
      </w:r>
      <w:r>
        <w:rPr>
          <w:rStyle w:val="17"/>
        </w:rPr>
        <w:fldChar w:fldCharType="separate"/>
      </w:r>
      <w:r>
        <w:rPr>
          <w:rStyle w:val="17"/>
        </w:rPr>
        <w:t>二、全面推广绿色建筑</w:t>
      </w:r>
      <w:r>
        <w:tab/>
      </w:r>
      <w:r>
        <w:fldChar w:fldCharType="begin"/>
      </w:r>
      <w:r>
        <w:instrText xml:space="preserve"> PAGEREF _Toc119916754 \h </w:instrText>
      </w:r>
      <w:r>
        <w:fldChar w:fldCharType="separate"/>
      </w:r>
      <w:r>
        <w:t>94</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"_Toc119916755"</w:instrText>
      </w:r>
      <w:r>
        <w:rPr>
          <w:rStyle w:val="17"/>
        </w:rPr>
        <w:instrText xml:space="preserve"> </w:instrText>
      </w:r>
      <w:r>
        <w:rPr>
          <w:rStyle w:val="17"/>
        </w:rPr>
        <w:fldChar w:fldCharType="separate"/>
      </w:r>
      <w:r>
        <w:rPr>
          <w:rStyle w:val="17"/>
        </w:rPr>
        <w:t>三、积极推进装配式建筑发展</w:t>
      </w:r>
      <w:r>
        <w:tab/>
      </w:r>
      <w:r>
        <w:fldChar w:fldCharType="begin"/>
      </w:r>
      <w:r>
        <w:instrText xml:space="preserve"> PAGEREF _Toc119916755 \h </w:instrText>
      </w:r>
      <w:r>
        <w:fldChar w:fldCharType="separate"/>
      </w:r>
      <w:r>
        <w:t>95</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"_Toc119916756"</w:instrText>
      </w:r>
      <w:r>
        <w:rPr>
          <w:rStyle w:val="17"/>
        </w:rPr>
        <w:instrText xml:space="preserve"> </w:instrText>
      </w:r>
      <w:r>
        <w:rPr>
          <w:rStyle w:val="17"/>
        </w:rPr>
        <w:fldChar w:fldCharType="separate"/>
      </w:r>
      <w:r>
        <w:rPr>
          <w:rStyle w:val="17"/>
        </w:rPr>
        <w:t>四、融合智能建造突出创新驱动</w:t>
      </w:r>
      <w:r>
        <w:tab/>
      </w:r>
      <w:r>
        <w:fldChar w:fldCharType="begin"/>
      </w:r>
      <w:r>
        <w:instrText xml:space="preserve"> PAGEREF _Toc119916756 \h </w:instrText>
      </w:r>
      <w:r>
        <w:fldChar w:fldCharType="separate"/>
      </w:r>
      <w:r>
        <w:t>96</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"_Toc119916757"</w:instrText>
      </w:r>
      <w:r>
        <w:rPr>
          <w:rStyle w:val="17"/>
        </w:rPr>
        <w:instrText xml:space="preserve"> </w:instrText>
      </w:r>
      <w:r>
        <w:rPr>
          <w:rStyle w:val="17"/>
        </w:rPr>
        <w:fldChar w:fldCharType="separate"/>
      </w:r>
      <w:r>
        <w:rPr>
          <w:rStyle w:val="17"/>
        </w:rPr>
        <w:t>五、推进工程质量安全标准化建设</w:t>
      </w:r>
      <w:r>
        <w:tab/>
      </w:r>
      <w:r>
        <w:fldChar w:fldCharType="begin"/>
      </w:r>
      <w:r>
        <w:instrText xml:space="preserve"> PAGEREF _Toc119916757 \h </w:instrText>
      </w:r>
      <w:r>
        <w:fldChar w:fldCharType="separate"/>
      </w:r>
      <w:r>
        <w:t>97</w:t>
      </w:r>
      <w:r>
        <w:fldChar w:fldCharType="end"/>
      </w:r>
      <w:r>
        <w:rPr>
          <w:rStyle w:val="17"/>
        </w:rPr>
        <w:fldChar w:fldCharType="end"/>
      </w:r>
    </w:p>
    <w:p>
      <w:pPr>
        <w:pStyle w:val="12"/>
        <w:tabs>
          <w:tab w:val="right" w:leader="dot" w:pos="8296"/>
        </w:tabs>
        <w:spacing w:line="240" w:lineRule="auto"/>
        <w:ind w:firstLine="400"/>
        <w:rPr>
          <w:b w:val="0"/>
          <w:bCs w:val="0"/>
          <w:caps w:val="0"/>
          <w:sz w:val="21"/>
          <w:szCs w:val="22"/>
        </w:rPr>
      </w:pPr>
      <w:r>
        <w:rPr>
          <w:rStyle w:val="17"/>
        </w:rPr>
        <w:fldChar w:fldCharType="begin"/>
      </w:r>
      <w:r>
        <w:rPr>
          <w:rStyle w:val="17"/>
        </w:rPr>
        <w:instrText xml:space="preserve"> </w:instrText>
      </w:r>
      <w:r>
        <w:instrText xml:space="preserve">HYPERLINK \l "_Toc119916758"</w:instrText>
      </w:r>
      <w:r>
        <w:rPr>
          <w:rStyle w:val="17"/>
        </w:rPr>
        <w:instrText xml:space="preserve"> </w:instrText>
      </w:r>
      <w:r>
        <w:rPr>
          <w:rStyle w:val="17"/>
        </w:rPr>
        <w:fldChar w:fldCharType="separate"/>
      </w:r>
      <w:r>
        <w:rPr>
          <w:rStyle w:val="17"/>
          <w:rFonts w:ascii="宋体" w:hAnsi="宋体"/>
        </w:rPr>
        <w:t>第六章 全面改善城乡住房条件</w:t>
      </w:r>
      <w:r>
        <w:tab/>
      </w:r>
      <w:bookmarkStart w:id="0" w:name="_Hlt119916777"/>
      <w:bookmarkStart w:id="1" w:name="_Hlt119916778"/>
      <w:r>
        <w:fldChar w:fldCharType="begin"/>
      </w:r>
      <w:r>
        <w:instrText xml:space="preserve"> PAGEREF _Toc119916758 \h </w:instrText>
      </w:r>
      <w:r>
        <w:fldChar w:fldCharType="separate"/>
      </w:r>
      <w:r>
        <w:t>98</w:t>
      </w:r>
      <w:r>
        <w:fldChar w:fldCharType="end"/>
      </w:r>
      <w:bookmarkEnd w:id="0"/>
      <w:bookmarkEnd w:id="1"/>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"_Toc119916759"</w:instrText>
      </w:r>
      <w:r>
        <w:rPr>
          <w:rStyle w:val="17"/>
        </w:rPr>
        <w:instrText xml:space="preserve"> </w:instrText>
      </w:r>
      <w:r>
        <w:rPr>
          <w:rStyle w:val="17"/>
        </w:rPr>
        <w:fldChar w:fldCharType="separate"/>
      </w:r>
      <w:r>
        <w:rPr>
          <w:rStyle w:val="17"/>
        </w:rPr>
        <w:t>一、优化住房保障体系</w:t>
      </w:r>
      <w:r>
        <w:tab/>
      </w:r>
      <w:r>
        <w:fldChar w:fldCharType="begin"/>
      </w:r>
      <w:r>
        <w:instrText xml:space="preserve"> PAGEREF _Toc119916759 \h </w:instrText>
      </w:r>
      <w:r>
        <w:fldChar w:fldCharType="separate"/>
      </w:r>
      <w:r>
        <w:t>98</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"_Toc119916760"</w:instrText>
      </w:r>
      <w:r>
        <w:rPr>
          <w:rStyle w:val="17"/>
        </w:rPr>
        <w:instrText xml:space="preserve"> </w:instrText>
      </w:r>
      <w:r>
        <w:rPr>
          <w:rStyle w:val="17"/>
        </w:rPr>
        <w:fldChar w:fldCharType="separate"/>
      </w:r>
      <w:r>
        <w:rPr>
          <w:rStyle w:val="17"/>
        </w:rPr>
        <w:t>二、优化新建商品住房供应</w:t>
      </w:r>
      <w:r>
        <w:tab/>
      </w:r>
      <w:r>
        <w:fldChar w:fldCharType="begin"/>
      </w:r>
      <w:r>
        <w:instrText xml:space="preserve"> PAGEREF _Toc119916760 \h </w:instrText>
      </w:r>
      <w:r>
        <w:fldChar w:fldCharType="separate"/>
      </w:r>
      <w:r>
        <w:t>102</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"_Toc119916761"</w:instrText>
      </w:r>
      <w:r>
        <w:rPr>
          <w:rStyle w:val="17"/>
        </w:rPr>
        <w:instrText xml:space="preserve"> </w:instrText>
      </w:r>
      <w:r>
        <w:rPr>
          <w:rStyle w:val="17"/>
        </w:rPr>
        <w:fldChar w:fldCharType="separate"/>
      </w:r>
      <w:r>
        <w:rPr>
          <w:rStyle w:val="17"/>
        </w:rPr>
        <w:t>三、推进农房建设现代化</w:t>
      </w:r>
      <w:r>
        <w:tab/>
      </w:r>
      <w:r>
        <w:fldChar w:fldCharType="begin"/>
      </w:r>
      <w:r>
        <w:instrText xml:space="preserve"> PAGEREF _Toc119916761 \h </w:instrText>
      </w:r>
      <w:r>
        <w:fldChar w:fldCharType="separate"/>
      </w:r>
      <w:r>
        <w:t>103</w:t>
      </w:r>
      <w:r>
        <w:fldChar w:fldCharType="end"/>
      </w:r>
      <w:r>
        <w:rPr>
          <w:rStyle w:val="17"/>
        </w:rPr>
        <w:fldChar w:fldCharType="end"/>
      </w:r>
    </w:p>
    <w:p>
      <w:pPr>
        <w:pStyle w:val="12"/>
        <w:tabs>
          <w:tab w:val="right" w:leader="dot" w:pos="8296"/>
        </w:tabs>
        <w:spacing w:line="240" w:lineRule="auto"/>
        <w:ind w:firstLine="400"/>
        <w:rPr>
          <w:b w:val="0"/>
          <w:bCs w:val="0"/>
          <w:caps w:val="0"/>
          <w:sz w:val="21"/>
          <w:szCs w:val="22"/>
        </w:rPr>
      </w:pPr>
      <w:r>
        <w:rPr>
          <w:rStyle w:val="17"/>
        </w:rPr>
        <w:fldChar w:fldCharType="begin"/>
      </w:r>
      <w:r>
        <w:rPr>
          <w:rStyle w:val="17"/>
        </w:rPr>
        <w:instrText xml:space="preserve"> </w:instrText>
      </w:r>
      <w:r>
        <w:instrText xml:space="preserve">HYPERLINK \l "_Toc119916762"</w:instrText>
      </w:r>
      <w:r>
        <w:rPr>
          <w:rStyle w:val="17"/>
        </w:rPr>
        <w:instrText xml:space="preserve"> </w:instrText>
      </w:r>
      <w:r>
        <w:rPr>
          <w:rStyle w:val="17"/>
        </w:rPr>
        <w:fldChar w:fldCharType="separate"/>
      </w:r>
      <w:r>
        <w:rPr>
          <w:rStyle w:val="17"/>
          <w:rFonts w:ascii="宋体" w:hAnsi="宋体"/>
        </w:rPr>
        <w:t>第七章 保护传承历史文化</w:t>
      </w:r>
      <w:r>
        <w:tab/>
      </w:r>
      <w:r>
        <w:fldChar w:fldCharType="begin"/>
      </w:r>
      <w:r>
        <w:instrText xml:space="preserve"> PAGEREF _Toc119916762 \h </w:instrText>
      </w:r>
      <w:r>
        <w:fldChar w:fldCharType="separate"/>
      </w:r>
      <w:r>
        <w:t>105</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"_Toc119916763"</w:instrText>
      </w:r>
      <w:r>
        <w:rPr>
          <w:rStyle w:val="17"/>
        </w:rPr>
        <w:instrText xml:space="preserve"> </w:instrText>
      </w:r>
      <w:r>
        <w:rPr>
          <w:rStyle w:val="17"/>
        </w:rPr>
        <w:fldChar w:fldCharType="separate"/>
      </w:r>
      <w:r>
        <w:rPr>
          <w:rStyle w:val="17"/>
        </w:rPr>
        <w:t>一、构建历史文化保护传承体系</w:t>
      </w:r>
      <w:r>
        <w:tab/>
      </w:r>
      <w:r>
        <w:fldChar w:fldCharType="begin"/>
      </w:r>
      <w:r>
        <w:instrText xml:space="preserve"> PAGEREF _Toc119916763 \h </w:instrText>
      </w:r>
      <w:r>
        <w:fldChar w:fldCharType="separate"/>
      </w:r>
      <w:r>
        <w:t>105</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"_Toc119916764"</w:instrText>
      </w:r>
      <w:r>
        <w:rPr>
          <w:rStyle w:val="17"/>
        </w:rPr>
        <w:instrText xml:space="preserve"> </w:instrText>
      </w:r>
      <w:r>
        <w:rPr>
          <w:rStyle w:val="17"/>
        </w:rPr>
        <w:fldChar w:fldCharType="separate"/>
      </w:r>
      <w:r>
        <w:rPr>
          <w:rStyle w:val="17"/>
        </w:rPr>
        <w:t>二、保护历史文化遗产</w:t>
      </w:r>
      <w:r>
        <w:tab/>
      </w:r>
      <w:r>
        <w:fldChar w:fldCharType="begin"/>
      </w:r>
      <w:r>
        <w:instrText xml:space="preserve"> PAGEREF _Toc119916764 \h </w:instrText>
      </w:r>
      <w:r>
        <w:fldChar w:fldCharType="separate"/>
      </w:r>
      <w:r>
        <w:t>106</w:t>
      </w:r>
      <w:r>
        <w:fldChar w:fldCharType="end"/>
      </w:r>
      <w:r>
        <w:rPr>
          <w:rStyle w:val="17"/>
        </w:rPr>
        <w:fldChar w:fldCharType="end"/>
      </w:r>
    </w:p>
    <w:p>
      <w:pPr>
        <w:pStyle w:val="12"/>
        <w:tabs>
          <w:tab w:val="right" w:leader="dot" w:pos="8296"/>
        </w:tabs>
        <w:spacing w:line="240" w:lineRule="auto"/>
        <w:ind w:firstLine="400"/>
        <w:rPr>
          <w:b w:val="0"/>
          <w:bCs w:val="0"/>
          <w:caps w:val="0"/>
          <w:sz w:val="21"/>
          <w:szCs w:val="22"/>
        </w:rPr>
      </w:pPr>
      <w:r>
        <w:rPr>
          <w:rStyle w:val="17"/>
        </w:rPr>
        <w:fldChar w:fldCharType="begin"/>
      </w:r>
      <w:r>
        <w:rPr>
          <w:rStyle w:val="17"/>
        </w:rPr>
        <w:instrText xml:space="preserve"> </w:instrText>
      </w:r>
      <w:r>
        <w:instrText xml:space="preserve">HYPERLINK \l "_Toc119916765"</w:instrText>
      </w:r>
      <w:r>
        <w:rPr>
          <w:rStyle w:val="17"/>
        </w:rPr>
        <w:instrText xml:space="preserve"> </w:instrText>
      </w:r>
      <w:r>
        <w:rPr>
          <w:rStyle w:val="17"/>
        </w:rPr>
        <w:fldChar w:fldCharType="separate"/>
      </w:r>
      <w:r>
        <w:rPr>
          <w:rStyle w:val="17"/>
          <w:rFonts w:ascii="宋体" w:hAnsi="宋体"/>
        </w:rPr>
        <w:t>第八章 推进城乡人居环境治理现代化</w:t>
      </w:r>
      <w:r>
        <w:tab/>
      </w:r>
      <w:r>
        <w:fldChar w:fldCharType="begin"/>
      </w:r>
      <w:r>
        <w:instrText xml:space="preserve"> PAGEREF _Toc119916765 \h </w:instrText>
      </w:r>
      <w:r>
        <w:fldChar w:fldCharType="separate"/>
      </w:r>
      <w:r>
        <w:t>109</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"_Toc119916766"</w:instrText>
      </w:r>
      <w:r>
        <w:rPr>
          <w:rStyle w:val="17"/>
        </w:rPr>
        <w:instrText xml:space="preserve"> </w:instrText>
      </w:r>
      <w:r>
        <w:rPr>
          <w:rStyle w:val="17"/>
        </w:rPr>
        <w:fldChar w:fldCharType="separate"/>
      </w:r>
      <w:r>
        <w:rPr>
          <w:rStyle w:val="17"/>
          <w:rFonts w:ascii="宋体" w:hAnsi="宋体"/>
        </w:rPr>
        <w:t>一、构建共建共治共享治理格局</w:t>
      </w:r>
      <w:r>
        <w:tab/>
      </w:r>
      <w:r>
        <w:fldChar w:fldCharType="begin"/>
      </w:r>
      <w:r>
        <w:instrText xml:space="preserve"> PAGEREF _Toc119916766 \h </w:instrText>
      </w:r>
      <w:r>
        <w:fldChar w:fldCharType="separate"/>
      </w:r>
      <w:r>
        <w:t>109</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"_Toc119916767"</w:instrText>
      </w:r>
      <w:r>
        <w:rPr>
          <w:rStyle w:val="17"/>
        </w:rPr>
        <w:instrText xml:space="preserve"> </w:instrText>
      </w:r>
      <w:r>
        <w:rPr>
          <w:rStyle w:val="17"/>
        </w:rPr>
        <w:fldChar w:fldCharType="separate"/>
      </w:r>
      <w:r>
        <w:rPr>
          <w:rStyle w:val="17"/>
          <w:rFonts w:ascii="宋体" w:hAnsi="宋体"/>
        </w:rPr>
        <w:t>二、提升城市治理水平</w:t>
      </w:r>
      <w:r>
        <w:tab/>
      </w:r>
      <w:r>
        <w:fldChar w:fldCharType="begin"/>
      </w:r>
      <w:r>
        <w:instrText xml:space="preserve"> PAGEREF _Toc119916767 \h </w:instrText>
      </w:r>
      <w:r>
        <w:fldChar w:fldCharType="separate"/>
      </w:r>
      <w:r>
        <w:t>109</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"_Toc119916768"</w:instrText>
      </w:r>
      <w:r>
        <w:rPr>
          <w:rStyle w:val="17"/>
        </w:rPr>
        <w:instrText xml:space="preserve"> </w:instrText>
      </w:r>
      <w:r>
        <w:rPr>
          <w:rStyle w:val="17"/>
        </w:rPr>
        <w:fldChar w:fldCharType="separate"/>
      </w:r>
      <w:r>
        <w:rPr>
          <w:rStyle w:val="17"/>
          <w:rFonts w:ascii="宋体" w:hAnsi="宋体"/>
        </w:rPr>
        <w:t>三、加强乡村建设管理</w:t>
      </w:r>
      <w:r>
        <w:tab/>
      </w:r>
      <w:r>
        <w:fldChar w:fldCharType="begin"/>
      </w:r>
      <w:r>
        <w:instrText xml:space="preserve"> PAGEREF _Toc119916768 \h </w:instrText>
      </w:r>
      <w:r>
        <w:fldChar w:fldCharType="separate"/>
      </w:r>
      <w:r>
        <w:t>111</w:t>
      </w:r>
      <w:r>
        <w:fldChar w:fldCharType="end"/>
      </w:r>
      <w:r>
        <w:rPr>
          <w:rStyle w:val="17"/>
        </w:rPr>
        <w:fldChar w:fldCharType="end"/>
      </w:r>
    </w:p>
    <w:p>
      <w:pPr>
        <w:pStyle w:val="12"/>
        <w:tabs>
          <w:tab w:val="right" w:leader="dot" w:pos="8296"/>
        </w:tabs>
        <w:spacing w:line="240" w:lineRule="auto"/>
        <w:ind w:firstLine="400"/>
        <w:rPr>
          <w:b w:val="0"/>
          <w:bCs w:val="0"/>
          <w:caps w:val="0"/>
          <w:sz w:val="21"/>
          <w:szCs w:val="22"/>
        </w:rPr>
      </w:pPr>
      <w:r>
        <w:rPr>
          <w:rStyle w:val="17"/>
        </w:rPr>
        <w:fldChar w:fldCharType="begin"/>
      </w:r>
      <w:r>
        <w:rPr>
          <w:rStyle w:val="17"/>
        </w:rPr>
        <w:instrText xml:space="preserve"> </w:instrText>
      </w:r>
      <w:r>
        <w:instrText xml:space="preserve">HYPERLINK \l "_Toc119916769"</w:instrText>
      </w:r>
      <w:r>
        <w:rPr>
          <w:rStyle w:val="17"/>
        </w:rPr>
        <w:instrText xml:space="preserve"> </w:instrText>
      </w:r>
      <w:r>
        <w:rPr>
          <w:rStyle w:val="17"/>
        </w:rPr>
        <w:fldChar w:fldCharType="separate"/>
      </w:r>
      <w:r>
        <w:rPr>
          <w:rStyle w:val="17"/>
          <w:rFonts w:ascii="宋体" w:hAnsi="宋体"/>
        </w:rPr>
        <w:t>第九章 保障措施</w:t>
      </w:r>
      <w:r>
        <w:tab/>
      </w:r>
      <w:r>
        <w:fldChar w:fldCharType="begin"/>
      </w:r>
      <w:r>
        <w:instrText xml:space="preserve"> PAGEREF _Toc119916769 \h </w:instrText>
      </w:r>
      <w:r>
        <w:fldChar w:fldCharType="separate"/>
      </w:r>
      <w:r>
        <w:t>113</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"_Toc119916770"</w:instrText>
      </w:r>
      <w:r>
        <w:rPr>
          <w:rStyle w:val="17"/>
        </w:rPr>
        <w:instrText xml:space="preserve"> </w:instrText>
      </w:r>
      <w:r>
        <w:rPr>
          <w:rStyle w:val="17"/>
        </w:rPr>
        <w:fldChar w:fldCharType="separate"/>
      </w:r>
      <w:r>
        <w:rPr>
          <w:rStyle w:val="17"/>
          <w:rFonts w:ascii="宋体" w:hAnsi="宋体"/>
        </w:rPr>
        <w:t>一、加强组织领导</w:t>
      </w:r>
      <w:r>
        <w:tab/>
      </w:r>
      <w:r>
        <w:fldChar w:fldCharType="begin"/>
      </w:r>
      <w:r>
        <w:instrText xml:space="preserve"> PAGEREF _Toc119916770 \h </w:instrText>
      </w:r>
      <w:r>
        <w:fldChar w:fldCharType="separate"/>
      </w:r>
      <w:r>
        <w:t>113</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"_Toc119916771"</w:instrText>
      </w:r>
      <w:r>
        <w:rPr>
          <w:rStyle w:val="17"/>
        </w:rPr>
        <w:instrText xml:space="preserve"> </w:instrText>
      </w:r>
      <w:r>
        <w:rPr>
          <w:rStyle w:val="17"/>
        </w:rPr>
        <w:fldChar w:fldCharType="separate"/>
      </w:r>
      <w:r>
        <w:rPr>
          <w:rStyle w:val="17"/>
          <w:rFonts w:ascii="宋体" w:hAnsi="宋体"/>
        </w:rPr>
        <w:t>二、强化政策支撑</w:t>
      </w:r>
      <w:r>
        <w:tab/>
      </w:r>
      <w:r>
        <w:fldChar w:fldCharType="begin"/>
      </w:r>
      <w:r>
        <w:instrText xml:space="preserve"> PAGEREF _Toc119916771 \h </w:instrText>
      </w:r>
      <w:r>
        <w:fldChar w:fldCharType="separate"/>
      </w:r>
      <w:r>
        <w:t>113</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"_Toc119916772"</w:instrText>
      </w:r>
      <w:r>
        <w:rPr>
          <w:rStyle w:val="17"/>
        </w:rPr>
        <w:instrText xml:space="preserve"> </w:instrText>
      </w:r>
      <w:r>
        <w:rPr>
          <w:rStyle w:val="17"/>
        </w:rPr>
        <w:fldChar w:fldCharType="separate"/>
      </w:r>
      <w:r>
        <w:rPr>
          <w:rStyle w:val="17"/>
          <w:rFonts w:ascii="宋体" w:hAnsi="宋体"/>
        </w:rPr>
        <w:t>三、健全技术体系</w:t>
      </w:r>
      <w:r>
        <w:tab/>
      </w:r>
      <w:r>
        <w:fldChar w:fldCharType="begin"/>
      </w:r>
      <w:r>
        <w:instrText xml:space="preserve"> PAGEREF _Toc119916772 \h </w:instrText>
      </w:r>
      <w:r>
        <w:fldChar w:fldCharType="separate"/>
      </w:r>
      <w:r>
        <w:t>113</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"_Toc119916773"</w:instrText>
      </w:r>
      <w:r>
        <w:rPr>
          <w:rStyle w:val="17"/>
        </w:rPr>
        <w:instrText xml:space="preserve"> </w:instrText>
      </w:r>
      <w:r>
        <w:rPr>
          <w:rStyle w:val="17"/>
        </w:rPr>
        <w:fldChar w:fldCharType="separate"/>
      </w:r>
      <w:r>
        <w:rPr>
          <w:rStyle w:val="17"/>
          <w:rFonts w:ascii="宋体" w:hAnsi="宋体"/>
        </w:rPr>
        <w:t>四、加强人才建设</w:t>
      </w:r>
      <w:r>
        <w:tab/>
      </w:r>
      <w:r>
        <w:fldChar w:fldCharType="begin"/>
      </w:r>
      <w:r>
        <w:instrText xml:space="preserve"> PAGEREF _Toc119916773 \h </w:instrText>
      </w:r>
      <w:r>
        <w:fldChar w:fldCharType="separate"/>
      </w:r>
      <w:r>
        <w:t>114</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"_Toc119916774"</w:instrText>
      </w:r>
      <w:r>
        <w:rPr>
          <w:rStyle w:val="17"/>
        </w:rPr>
        <w:instrText xml:space="preserve"> </w:instrText>
      </w:r>
      <w:r>
        <w:rPr>
          <w:rStyle w:val="17"/>
        </w:rPr>
        <w:fldChar w:fldCharType="separate"/>
      </w:r>
      <w:r>
        <w:rPr>
          <w:rStyle w:val="17"/>
          <w:rFonts w:ascii="宋体" w:hAnsi="宋体"/>
        </w:rPr>
        <w:t>五、强化监督考核</w:t>
      </w:r>
      <w:r>
        <w:tab/>
      </w:r>
      <w:r>
        <w:fldChar w:fldCharType="begin"/>
      </w:r>
      <w:r>
        <w:instrText xml:space="preserve"> PAGEREF _Toc119916774 \h </w:instrText>
      </w:r>
      <w:r>
        <w:fldChar w:fldCharType="separate"/>
      </w:r>
      <w:r>
        <w:t>114</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"_Toc119916775"</w:instrText>
      </w:r>
      <w:r>
        <w:rPr>
          <w:rStyle w:val="17"/>
        </w:rPr>
        <w:instrText xml:space="preserve"> </w:instrText>
      </w:r>
      <w:r>
        <w:rPr>
          <w:rStyle w:val="17"/>
        </w:rPr>
        <w:fldChar w:fldCharType="separate"/>
      </w:r>
      <w:r>
        <w:rPr>
          <w:rStyle w:val="17"/>
          <w:rFonts w:ascii="宋体" w:hAnsi="宋体"/>
          <w:shd w:val="clear" w:color="auto" w:fill="FFFFFF"/>
        </w:rPr>
        <w:t>六、</w:t>
      </w:r>
      <w:r>
        <w:rPr>
          <w:rStyle w:val="17"/>
          <w:rFonts w:ascii="宋体" w:hAnsi="宋体"/>
        </w:rPr>
        <w:t>强化资金保障</w:t>
      </w:r>
      <w:r>
        <w:tab/>
      </w:r>
      <w:r>
        <w:fldChar w:fldCharType="begin"/>
      </w:r>
      <w:r>
        <w:instrText xml:space="preserve"> PAGEREF _Toc119916775 \h </w:instrText>
      </w:r>
      <w:r>
        <w:fldChar w:fldCharType="separate"/>
      </w:r>
      <w:r>
        <w:t>114</w:t>
      </w:r>
      <w:r>
        <w:fldChar w:fldCharType="end"/>
      </w:r>
      <w:r>
        <w:rPr>
          <w:rStyle w:val="17"/>
        </w:rPr>
        <w:fldChar w:fldCharType="end"/>
      </w:r>
    </w:p>
    <w:p>
      <w:pPr>
        <w:pStyle w:val="13"/>
        <w:tabs>
          <w:tab w:val="right" w:leader="dot" w:pos="8296"/>
        </w:tabs>
        <w:spacing w:line="240" w:lineRule="auto"/>
        <w:ind w:firstLine="400"/>
        <w:rPr>
          <w:smallCaps w:val="0"/>
          <w:sz w:val="21"/>
          <w:szCs w:val="22"/>
        </w:rPr>
      </w:pPr>
      <w:r>
        <w:rPr>
          <w:rStyle w:val="17"/>
        </w:rPr>
        <w:fldChar w:fldCharType="begin"/>
      </w:r>
      <w:r>
        <w:rPr>
          <w:rStyle w:val="17"/>
        </w:rPr>
        <w:instrText xml:space="preserve"> </w:instrText>
      </w:r>
      <w:r>
        <w:instrText xml:space="preserve">HYPERLINK \l "_Toc119916776"</w:instrText>
      </w:r>
      <w:r>
        <w:rPr>
          <w:rStyle w:val="17"/>
        </w:rPr>
        <w:instrText xml:space="preserve"> </w:instrText>
      </w:r>
      <w:r>
        <w:rPr>
          <w:rStyle w:val="17"/>
        </w:rPr>
        <w:fldChar w:fldCharType="separate"/>
      </w:r>
      <w:r>
        <w:rPr>
          <w:rStyle w:val="17"/>
          <w:rFonts w:ascii="宋体" w:hAnsi="宋体"/>
        </w:rPr>
        <w:t>七、引导公众参与</w:t>
      </w:r>
      <w:r>
        <w:tab/>
      </w:r>
      <w:r>
        <w:fldChar w:fldCharType="begin"/>
      </w:r>
      <w:r>
        <w:instrText xml:space="preserve"> PAGEREF _Toc119916776 \h </w:instrText>
      </w:r>
      <w:r>
        <w:fldChar w:fldCharType="separate"/>
      </w:r>
      <w:r>
        <w:t>115</w:t>
      </w:r>
      <w:r>
        <w:fldChar w:fldCharType="end"/>
      </w:r>
      <w:r>
        <w:rPr>
          <w:rStyle w:val="17"/>
        </w:rPr>
        <w:fldChar w:fldCharType="end"/>
      </w:r>
    </w:p>
    <w:p>
      <w:pPr>
        <w:snapToGrid w:val="0"/>
        <w:spacing w:line="240" w:lineRule="auto"/>
        <w:ind w:firstLine="400"/>
      </w:pPr>
      <w:r>
        <w:rPr>
          <w:rFonts w:eastAsia="等线"/>
          <w:b/>
          <w:bCs/>
          <w:caps/>
          <w:sz w:val="20"/>
          <w:szCs w:val="20"/>
        </w:rPr>
        <w:fldChar w:fldCharType="end"/>
      </w:r>
    </w:p>
    <w:p>
      <w:pPr>
        <w:ind w:firstLine="560"/>
      </w:pPr>
    </w:p>
    <w:p>
      <w:pPr>
        <w:adjustRightInd w:val="0"/>
        <w:snapToGrid w:val="0"/>
        <w:spacing w:line="240" w:lineRule="auto"/>
        <w:ind w:firstLine="560"/>
        <w:rPr>
          <w:color w:val="000000"/>
        </w:rPr>
      </w:pPr>
    </w:p>
    <w:p>
      <w:pPr>
        <w:pStyle w:val="4"/>
        <w:rPr>
          <w:rFonts w:ascii="宋体" w:hAnsi="宋体"/>
          <w:color w:val="000000"/>
        </w:rPr>
        <w:sectPr>
          <w:footerReference r:id="rId10" w:type="default"/>
          <w:pgSz w:w="11906" w:h="16838"/>
          <w:pgMar w:top="1440" w:right="1800" w:bottom="1440" w:left="1800" w:header="851" w:footer="737" w:gutter="0"/>
          <w:pgNumType w:fmt="upperRoman" w:start="1"/>
          <w:cols w:space="720" w:num="1"/>
          <w:docGrid w:type="lines" w:linePitch="381" w:charSpace="0"/>
        </w:sectPr>
      </w:pPr>
    </w:p>
    <w:p>
      <w:pPr>
        <w:pStyle w:val="4"/>
        <w:rPr>
          <w:rFonts w:ascii="宋体" w:hAnsi="宋体"/>
          <w:color w:val="000000"/>
        </w:rPr>
      </w:pPr>
      <w:bookmarkStart w:id="2" w:name="_Toc119916729"/>
      <w:bookmarkStart w:id="3" w:name="_Toc118566657"/>
      <w:bookmarkStart w:id="4" w:name="_Toc118566257"/>
      <w:bookmarkStart w:id="5" w:name="_Toc118566523"/>
      <w:bookmarkStart w:id="6" w:name="_Toc118566390"/>
      <w:r>
        <w:rPr>
          <w:rFonts w:hint="eastAsia" w:ascii="宋体" w:hAnsi="宋体"/>
          <w:color w:val="000000"/>
        </w:rPr>
        <w:t>第一章 规划背景与总体要求</w:t>
      </w:r>
      <w:bookmarkEnd w:id="2"/>
      <w:bookmarkEnd w:id="3"/>
      <w:bookmarkEnd w:id="4"/>
      <w:bookmarkEnd w:id="5"/>
      <w:bookmarkEnd w:id="6"/>
    </w:p>
    <w:p>
      <w:pPr>
        <w:pStyle w:val="5"/>
        <w:numPr>
          <w:ilvl w:val="0"/>
          <w:numId w:val="1"/>
        </w:numPr>
        <w:spacing w:before="190"/>
        <w:rPr>
          <w:rFonts w:ascii="宋体" w:hAnsi="宋体"/>
          <w:color w:val="000000"/>
        </w:rPr>
      </w:pPr>
      <w:bookmarkStart w:id="7" w:name="_Toc118566524"/>
      <w:bookmarkStart w:id="8" w:name="_Toc118566658"/>
      <w:bookmarkStart w:id="9" w:name="_Toc118566258"/>
      <w:bookmarkStart w:id="10" w:name="_Toc118566391"/>
      <w:bookmarkStart w:id="11" w:name="_Toc119916730"/>
      <w:r>
        <w:rPr>
          <w:rFonts w:hint="eastAsia" w:ascii="宋体" w:hAnsi="宋体"/>
          <w:color w:val="000000"/>
        </w:rPr>
        <w:t>发展基础</w:t>
      </w:r>
      <w:bookmarkEnd w:id="7"/>
      <w:bookmarkEnd w:id="8"/>
      <w:bookmarkEnd w:id="9"/>
      <w:bookmarkEnd w:id="10"/>
      <w:bookmarkEnd w:id="11"/>
    </w:p>
    <w:p>
      <w:pPr>
        <w:adjustRightInd w:val="0"/>
        <w:snapToGrid w:val="0"/>
        <w:ind w:firstLine="560"/>
        <w:rPr>
          <w:rFonts w:ascii="宋体" w:hAnsi="宋体"/>
          <w:color w:val="000000"/>
        </w:rPr>
      </w:pPr>
      <w:r>
        <w:rPr>
          <w:rFonts w:hint="eastAsia" w:ascii="宋体" w:hAnsi="宋体"/>
          <w:color w:val="000000"/>
          <w:lang/>
        </w:rPr>
        <w:t>广元市</w:t>
      </w:r>
      <w:r>
        <w:rPr>
          <w:rFonts w:ascii="宋体" w:hAnsi="宋体"/>
          <w:color w:val="000000"/>
          <w:lang/>
        </w:rPr>
        <w:t>“</w:t>
      </w:r>
      <w:r>
        <w:rPr>
          <w:rFonts w:hint="eastAsia" w:ascii="宋体" w:hAnsi="宋体"/>
          <w:color w:val="000000"/>
          <w:lang/>
        </w:rPr>
        <w:t>十三五</w:t>
      </w:r>
      <w:r>
        <w:rPr>
          <w:rFonts w:ascii="宋体" w:hAnsi="宋体"/>
          <w:color w:val="000000"/>
          <w:lang/>
        </w:rPr>
        <w:t>”</w:t>
      </w:r>
      <w:r>
        <w:rPr>
          <w:rFonts w:hint="eastAsia" w:ascii="宋体" w:hAnsi="宋体"/>
          <w:color w:val="000000"/>
          <w:lang/>
        </w:rPr>
        <w:t>期间</w:t>
      </w:r>
      <w:r>
        <w:rPr>
          <w:rFonts w:ascii="宋体" w:hAnsi="宋体"/>
          <w:color w:val="000000"/>
          <w:lang/>
        </w:rPr>
        <w:t>，积极应对严峻复杂形势和多重困难挑战，深入实施“三个一、三个三”兴广战略，</w:t>
      </w:r>
      <w:r>
        <w:rPr>
          <w:rFonts w:hint="eastAsia" w:ascii="宋体" w:hAnsi="宋体"/>
          <w:color w:val="000000"/>
          <w:lang/>
        </w:rPr>
        <w:t>建设</w:t>
      </w:r>
      <w:r>
        <w:rPr>
          <w:rFonts w:ascii="宋体" w:hAnsi="宋体"/>
          <w:color w:val="000000"/>
          <w:lang/>
        </w:rPr>
        <w:t>打基础、惠民生、利长远的大事要事，</w:t>
      </w:r>
      <w:r>
        <w:rPr>
          <w:rFonts w:hint="eastAsia" w:ascii="宋体" w:hAnsi="宋体"/>
          <w:color w:val="000000"/>
          <w:lang/>
        </w:rPr>
        <w:t>统筹兼顾夯基础、优环境，实现城乡面貌焕然一新。</w:t>
      </w:r>
    </w:p>
    <w:p>
      <w:pPr>
        <w:pStyle w:val="6"/>
        <w:ind w:firstLine="141"/>
        <w:rPr>
          <w:color w:val="000000"/>
        </w:rPr>
      </w:pPr>
      <w:bookmarkStart w:id="12" w:name="_Toc118566525"/>
      <w:bookmarkStart w:id="13" w:name="_Toc118566392"/>
      <w:bookmarkStart w:id="14" w:name="_Toc118566659"/>
      <w:bookmarkStart w:id="15" w:name="_Toc118566259"/>
      <w:r>
        <w:rPr>
          <w:rFonts w:hint="eastAsia"/>
          <w:color w:val="000000"/>
        </w:rPr>
        <w:t>（一）“十三五”成就</w:t>
      </w:r>
      <w:bookmarkEnd w:id="12"/>
      <w:bookmarkEnd w:id="13"/>
      <w:bookmarkEnd w:id="14"/>
      <w:bookmarkEnd w:id="15"/>
    </w:p>
    <w:p>
      <w:pPr>
        <w:pStyle w:val="7"/>
        <w:tabs>
          <w:tab w:val="left" w:pos="720"/>
        </w:tabs>
        <w:adjustRightInd w:val="0"/>
        <w:snapToGrid w:val="0"/>
        <w:rPr>
          <w:rFonts w:ascii="宋体" w:hAnsi="宋体"/>
          <w:color w:val="000000"/>
        </w:rPr>
      </w:pPr>
      <w:r>
        <w:rPr>
          <w:rFonts w:hint="eastAsia" w:ascii="宋体" w:hAnsi="宋体"/>
          <w:color w:val="000000"/>
        </w:rPr>
        <w:t>1.城乡生态环境持续优化</w:t>
      </w:r>
    </w:p>
    <w:p>
      <w:pPr>
        <w:adjustRightInd w:val="0"/>
        <w:snapToGrid w:val="0"/>
        <w:ind w:firstLine="560"/>
        <w:rPr>
          <w:rFonts w:ascii="宋体" w:hAnsi="宋体"/>
          <w:color w:val="000000"/>
        </w:rPr>
      </w:pPr>
      <w:r>
        <w:rPr>
          <w:rFonts w:hint="eastAsia" w:ascii="宋体" w:hAnsi="宋体"/>
          <w:color w:val="000000"/>
        </w:rPr>
        <w:t>“十三五”是我市生态环境保护投入最多、生态环境执法监管最严、污染防治攻坚战成效最大、生态环境质量改善最明显的五年。五年来，我们坚持以习近平生态文明思想为指导，忠实践行绿水青山就是金山银山的新发展理念，坚持生态优先，坚定生态立市发展思路，加快建设中国最干净城市，使美丽广元建设迈出了坚实步伐。</w:t>
      </w:r>
    </w:p>
    <w:p>
      <w:pPr>
        <w:adjustRightInd w:val="0"/>
        <w:snapToGrid w:val="0"/>
        <w:ind w:firstLine="562"/>
        <w:rPr>
          <w:rFonts w:ascii="宋体" w:hAnsi="宋体"/>
          <w:color w:val="000000"/>
        </w:rPr>
      </w:pPr>
      <w:r>
        <w:rPr>
          <w:rFonts w:hint="eastAsia" w:ascii="宋体" w:hAnsi="宋体"/>
          <w:b/>
          <w:color w:val="000000"/>
        </w:rPr>
        <w:t>生态底色更加厚实。</w:t>
      </w:r>
      <w:r>
        <w:rPr>
          <w:rFonts w:hint="eastAsia" w:ascii="宋体" w:hAnsi="宋体"/>
          <w:color w:val="000000"/>
        </w:rPr>
        <w:t>大熊猫国家公园加快建设，建成各类自然保护区</w:t>
      </w:r>
      <w:r>
        <w:rPr>
          <w:rFonts w:ascii="宋体" w:hAnsi="宋体"/>
          <w:color w:val="000000"/>
        </w:rPr>
        <w:t>13个、森林公园10个、国家级湿地公园2个，森林覆盖率达到57.47%。</w:t>
      </w:r>
      <w:r>
        <w:rPr>
          <w:rFonts w:hint="eastAsia" w:ascii="宋体" w:hAnsi="宋体"/>
          <w:color w:val="000000"/>
        </w:rPr>
        <w:t>截至</w:t>
      </w:r>
      <w:r>
        <w:rPr>
          <w:rFonts w:ascii="宋体" w:hAnsi="宋体"/>
          <w:color w:val="000000"/>
        </w:rPr>
        <w:t>2020年底，全市城市公园数量达到44个，公园面积1231.5公顷，绿地面积5563.51公顷，全市建成区绿地率为36.9%，市城区建成区绿地率为38.33%，全市人均公园绿地面积达16.35平方米，市城区人均公园绿地达16.19平方米，全市公园绿地服务半径覆盖率为83.76%，市城区公园绿地服务半径覆盖率为85.08%。</w:t>
      </w:r>
    </w:p>
    <w:p>
      <w:pPr>
        <w:adjustRightInd w:val="0"/>
        <w:snapToGrid w:val="0"/>
        <w:ind w:firstLine="562"/>
        <w:rPr>
          <w:rFonts w:ascii="宋体" w:hAnsi="宋体"/>
          <w:color w:val="000000"/>
        </w:rPr>
      </w:pPr>
      <w:r>
        <w:rPr>
          <w:rFonts w:ascii="宋体" w:hAnsi="宋体"/>
          <w:b/>
          <w:color w:val="000000"/>
        </w:rPr>
        <w:t>环境质量</w:t>
      </w:r>
      <w:r>
        <w:rPr>
          <w:rFonts w:hint="eastAsia" w:ascii="宋体" w:hAnsi="宋体"/>
          <w:b/>
          <w:color w:val="000000"/>
        </w:rPr>
        <w:t>持续</w:t>
      </w:r>
      <w:r>
        <w:rPr>
          <w:rFonts w:ascii="宋体" w:hAnsi="宋体"/>
          <w:b/>
          <w:color w:val="000000"/>
        </w:rPr>
        <w:t>改善</w:t>
      </w:r>
      <w:r>
        <w:rPr>
          <w:rFonts w:hint="eastAsia" w:ascii="宋体" w:hAnsi="宋体"/>
          <w:b/>
          <w:color w:val="000000"/>
        </w:rPr>
        <w:t>。</w:t>
      </w:r>
      <w:r>
        <w:rPr>
          <w:rFonts w:hint="eastAsia" w:ascii="宋体" w:hAnsi="宋体"/>
          <w:color w:val="000000"/>
        </w:rPr>
        <w:t>蓝天、碧水、净土保卫等</w:t>
      </w:r>
      <w:r>
        <w:rPr>
          <w:rFonts w:ascii="宋体" w:hAnsi="宋体"/>
          <w:color w:val="000000"/>
        </w:rPr>
        <w:t>污染防治</w:t>
      </w:r>
      <w:r>
        <w:rPr>
          <w:rFonts w:hint="eastAsia" w:ascii="宋体" w:hAnsi="宋体"/>
          <w:color w:val="000000"/>
        </w:rPr>
        <w:t>攻坚战</w:t>
      </w:r>
      <w:r>
        <w:rPr>
          <w:rFonts w:ascii="宋体" w:hAnsi="宋体"/>
          <w:color w:val="000000"/>
        </w:rPr>
        <w:t>取得决定性胜利，城乡环保基础设施不断完善</w:t>
      </w:r>
      <w:r>
        <w:rPr>
          <w:rFonts w:hint="eastAsia" w:ascii="宋体" w:hAnsi="宋体"/>
          <w:color w:val="000000"/>
        </w:rPr>
        <w:t>，坚持“控源截污、内源治理、生态修复、活水保质、长制久清”思路，投资</w:t>
      </w:r>
      <w:r>
        <w:rPr>
          <w:rFonts w:ascii="宋体" w:hAnsi="宋体"/>
          <w:color w:val="000000"/>
        </w:rPr>
        <w:t>20余亿元，在全省率先完成列入住建部监管平台的19条黑臭水体整治任务</w:t>
      </w:r>
      <w:r>
        <w:rPr>
          <w:rFonts w:hint="eastAsia" w:ascii="宋体" w:hAnsi="宋体"/>
          <w:color w:val="000000"/>
        </w:rPr>
        <w:t>，</w:t>
      </w:r>
      <w:r>
        <w:rPr>
          <w:rFonts w:ascii="宋体" w:hAnsi="宋体"/>
          <w:color w:val="000000"/>
        </w:rPr>
        <w:t>城市黑臭水体基本消除</w:t>
      </w:r>
      <w:r>
        <w:rPr>
          <w:rFonts w:hint="eastAsia" w:ascii="宋体" w:hAnsi="宋体"/>
          <w:color w:val="000000"/>
        </w:rPr>
        <w:t>，</w:t>
      </w:r>
      <w:r>
        <w:rPr>
          <w:rFonts w:ascii="宋体" w:hAnsi="宋体"/>
          <w:color w:val="000000"/>
        </w:rPr>
        <w:t>环境质量</w:t>
      </w:r>
      <w:r>
        <w:rPr>
          <w:rFonts w:hint="eastAsia" w:ascii="宋体" w:hAnsi="宋体"/>
          <w:color w:val="000000"/>
        </w:rPr>
        <w:t>保持在全省前列，</w:t>
      </w:r>
      <w:r>
        <w:rPr>
          <w:rFonts w:ascii="宋体" w:hAnsi="宋体"/>
          <w:color w:val="000000"/>
        </w:rPr>
        <w:t>市城区</w:t>
      </w:r>
      <w:r>
        <w:rPr>
          <w:rFonts w:hint="eastAsia" w:ascii="宋体" w:hAnsi="宋体"/>
          <w:color w:val="000000"/>
        </w:rPr>
        <w:t>空气质量优良天数率常年保持在</w:t>
      </w:r>
      <w:r>
        <w:rPr>
          <w:rFonts w:ascii="宋体" w:hAnsi="宋体"/>
          <w:color w:val="000000"/>
        </w:rPr>
        <w:t>9</w:t>
      </w:r>
      <w:r>
        <w:rPr>
          <w:rFonts w:hint="eastAsia" w:ascii="宋体" w:hAnsi="宋体"/>
          <w:color w:val="000000"/>
        </w:rPr>
        <w:t>7</w:t>
      </w:r>
      <w:r>
        <w:rPr>
          <w:rFonts w:ascii="宋体" w:hAnsi="宋体"/>
          <w:color w:val="000000"/>
        </w:rPr>
        <w:t>%</w:t>
      </w:r>
      <w:r>
        <w:rPr>
          <w:rFonts w:hint="eastAsia" w:ascii="宋体" w:hAnsi="宋体"/>
          <w:color w:val="000000"/>
        </w:rPr>
        <w:t>以上</w:t>
      </w:r>
      <w:r>
        <w:rPr>
          <w:rFonts w:ascii="宋体" w:hAnsi="宋体"/>
          <w:color w:val="000000"/>
        </w:rPr>
        <w:t>，县城空气质量全面达标</w:t>
      </w:r>
      <w:r>
        <w:rPr>
          <w:rFonts w:hint="eastAsia" w:ascii="宋体" w:hAnsi="宋体"/>
          <w:color w:val="000000"/>
        </w:rPr>
        <w:t>，在全省率先完成城市黑臭水体整治，依法取缔白龙湖网箱养殖，</w:t>
      </w:r>
      <w:r>
        <w:rPr>
          <w:rFonts w:ascii="宋体" w:hAnsi="宋体"/>
          <w:color w:val="000000"/>
        </w:rPr>
        <w:t>嘉陵江</w:t>
      </w:r>
      <w:r>
        <w:rPr>
          <w:rFonts w:hint="eastAsia" w:ascii="宋体" w:hAnsi="宋体"/>
          <w:color w:val="000000"/>
        </w:rPr>
        <w:t>、白龙江</w:t>
      </w:r>
      <w:r>
        <w:rPr>
          <w:rFonts w:ascii="宋体" w:hAnsi="宋体"/>
          <w:color w:val="000000"/>
        </w:rPr>
        <w:t>等</w:t>
      </w:r>
      <w:r>
        <w:rPr>
          <w:rFonts w:hint="eastAsia" w:ascii="宋体" w:hAnsi="宋体"/>
          <w:color w:val="000000"/>
        </w:rPr>
        <w:t>主要</w:t>
      </w:r>
      <w:r>
        <w:rPr>
          <w:rFonts w:ascii="宋体" w:hAnsi="宋体"/>
          <w:color w:val="000000"/>
        </w:rPr>
        <w:t>河流水质优良率100%，土壤环境质量保持稳定</w:t>
      </w:r>
      <w:r>
        <w:rPr>
          <w:rFonts w:hint="eastAsia" w:ascii="宋体" w:hAnsi="宋体"/>
          <w:color w:val="000000"/>
        </w:rPr>
        <w:t>。</w:t>
      </w:r>
    </w:p>
    <w:p>
      <w:pPr>
        <w:adjustRightInd w:val="0"/>
        <w:snapToGrid w:val="0"/>
        <w:ind w:firstLine="562"/>
        <w:rPr>
          <w:rFonts w:ascii="宋体" w:hAnsi="宋体"/>
          <w:color w:val="000000"/>
        </w:rPr>
      </w:pPr>
      <w:r>
        <w:rPr>
          <w:rFonts w:hint="eastAsia" w:ascii="宋体" w:hAnsi="宋体"/>
          <w:b/>
          <w:color w:val="000000"/>
        </w:rPr>
        <w:t>公园建设工作成效明显。</w:t>
      </w:r>
      <w:r>
        <w:rPr>
          <w:rFonts w:hint="eastAsia" w:ascii="宋体" w:hAnsi="宋体"/>
          <w:color w:val="000000"/>
        </w:rPr>
        <w:t>“十三五”期间，我市新建了水柜公园（一期）、莲花公园（一期）、百草园（一期）、乌龙山公园（一期）、水岸华府至碧桂园滨河绿地等多个市政公园，改</w:t>
      </w:r>
      <w:r>
        <w:rPr>
          <w:rFonts w:ascii="宋体" w:hAnsi="宋体"/>
          <w:color w:val="000000"/>
        </w:rPr>
        <w:t>(扩)建了三清山游园、橄榄树游园、八一游园、国大西侧游园、夜宴游园等游园，完成生活大道、大石滨河南北路、益昌大道等道路附属绿化建设，并通过节点改造、增彩添香等专项行动大力提升城市公共绿地景观性。通过强化小区附属绿地管理，保证各新建改建小区绿地达标率达95%。“十三五”以来中心城区新增各类绿地面积237.99公顷，经统计，至2020年底我市中心城区建成区</w:t>
      </w:r>
      <w:r>
        <w:rPr>
          <w:rFonts w:hint="eastAsia" w:ascii="宋体" w:hAnsi="宋体"/>
          <w:color w:val="000000"/>
        </w:rPr>
        <w:t>范围内绿地面积达</w:t>
      </w:r>
      <w:r>
        <w:rPr>
          <w:rFonts w:ascii="宋体" w:hAnsi="宋体"/>
          <w:color w:val="000000"/>
        </w:rPr>
        <w:t>2175公顷，其中公园绿地面积715.37公顷，建成区绿地率达38.33%，人均公园绿地指标达16.19，公园绿地服务半径达85.08%，顺利完成“十三五”城市绿地相关规划指标要求，成功创建国家卫生城市、国家园林城市、全国绿化模范城市。</w:t>
      </w:r>
      <w:r>
        <w:rPr>
          <w:rFonts w:hint="eastAsia" w:ascii="宋体" w:hAnsi="宋体"/>
          <w:color w:val="000000"/>
        </w:rPr>
        <w:t>截至目前，广元市已建成了串联利州、朝天、昭化三个区，长度达</w:t>
      </w:r>
      <w:r>
        <w:rPr>
          <w:rFonts w:ascii="宋体" w:hAnsi="宋体"/>
          <w:color w:val="000000"/>
        </w:rPr>
        <w:t>113.75公里的城区绿道(完成城市规划专用绿道长度的90%以上），基本实现了中心城区沿河绿道的互联互通，辐射近60万人</w:t>
      </w:r>
      <w:r>
        <w:rPr>
          <w:rFonts w:hint="eastAsia" w:ascii="宋体" w:hAnsi="宋体"/>
          <w:color w:val="000000"/>
        </w:rPr>
        <w:t>，</w:t>
      </w:r>
      <w:r>
        <w:rPr>
          <w:rFonts w:ascii="宋体" w:hAnsi="宋体"/>
          <w:color w:val="000000"/>
        </w:rPr>
        <w:t>为市民提供了便利的休闲散步空间。</w:t>
      </w:r>
    </w:p>
    <w:p>
      <w:pPr>
        <w:pStyle w:val="7"/>
        <w:tabs>
          <w:tab w:val="left" w:pos="720"/>
        </w:tabs>
        <w:adjustRightInd w:val="0"/>
        <w:snapToGrid w:val="0"/>
        <w:rPr>
          <w:rFonts w:ascii="宋体" w:hAnsi="宋体"/>
          <w:color w:val="000000"/>
        </w:rPr>
      </w:pPr>
      <w:r>
        <w:rPr>
          <w:rFonts w:hint="eastAsia" w:ascii="宋体" w:hAnsi="宋体"/>
          <w:color w:val="000000"/>
        </w:rPr>
        <w:t>2.城乡基础设施不断完善</w:t>
      </w:r>
    </w:p>
    <w:p>
      <w:pPr>
        <w:adjustRightInd w:val="0"/>
        <w:snapToGrid w:val="0"/>
        <w:ind w:firstLine="562"/>
        <w:rPr>
          <w:rFonts w:hint="eastAsia" w:ascii="宋体" w:hAnsi="宋体"/>
        </w:rPr>
      </w:pPr>
      <w:r>
        <w:rPr>
          <w:rFonts w:hint="eastAsia" w:ascii="宋体" w:hAnsi="宋体"/>
          <w:b/>
          <w:color w:val="000000"/>
        </w:rPr>
        <w:t>交通基础网络更加畅通。</w:t>
      </w:r>
      <w:r>
        <w:rPr>
          <w:rFonts w:hint="eastAsia" w:ascii="宋体" w:hAnsi="宋体"/>
        </w:rPr>
        <w:t>全市公路总里程达2.3万余公里。</w:t>
      </w:r>
      <w:r>
        <w:rPr>
          <w:rFonts w:hint="eastAsia" w:ascii="宋体" w:hAnsi="宋体"/>
          <w:b/>
          <w:bCs/>
        </w:rPr>
        <w:t>高速公路：</w:t>
      </w:r>
      <w:r>
        <w:rPr>
          <w:rFonts w:hint="eastAsia" w:ascii="宋体" w:hAnsi="宋体"/>
        </w:rPr>
        <w:t>北京至昆明、兰州至海口、恩施至广元、广元绕城高速、广平高速青川段已建成通车，绵阳至苍溪、苍溪至巴中高速公路和京昆高速公路广元至绵阳段扩容加快建设，京昆高速公路汉中至广元（四川境）段扩容项目已开工建设，全市7个县区全部通高速公路，高速公路通车总里程达到465公里，在建高速公路里程达260公里，实现了一小时到县区、二小时到达毗邻地市目标，基本形成以广元中心城区为中心、连接各县区、辐射省内及陕西、甘肃周边地区的高速公路网络。</w:t>
      </w:r>
      <w:r>
        <w:rPr>
          <w:rFonts w:hint="eastAsia" w:ascii="宋体" w:hAnsi="宋体"/>
          <w:b/>
          <w:bCs/>
        </w:rPr>
        <w:t>国省公路：</w:t>
      </w:r>
      <w:r>
        <w:rPr>
          <w:rFonts w:hint="eastAsia" w:ascii="宋体" w:hAnsi="宋体"/>
        </w:rPr>
        <w:t>“5条国道、15条省道约2800公里贯穿广元全境，覆盖了全市约90%的乡镇。通过近几年的升级改造，国省公路与高速公路共同形成了覆盖广泛、衔接顺畅、运行可靠的公路网络。</w:t>
      </w:r>
      <w:r>
        <w:rPr>
          <w:rFonts w:hint="eastAsia" w:ascii="宋体" w:hAnsi="宋体"/>
          <w:b/>
          <w:bCs/>
        </w:rPr>
        <w:t>农村公路</w:t>
      </w:r>
      <w:r>
        <w:rPr>
          <w:rFonts w:hint="eastAsia" w:ascii="宋体" w:hAnsi="宋体"/>
        </w:rPr>
        <w:t>：全市100%的乡镇通油路（水泥路），100%的建制村通硬化路，农村公路总里程达2万余公里。苍溪县成功创建“四好农村路”全国示范县，剑阁县、利州区、昭化区、朝天区成功创建“四好农村路”省级示范县，青川县、苍溪县成功创建为四川省首批“金通工程”样板县。</w:t>
      </w:r>
      <w:r>
        <w:rPr>
          <w:rFonts w:hint="eastAsia" w:ascii="宋体" w:hAnsi="宋体"/>
          <w:b/>
          <w:bCs/>
        </w:rPr>
        <w:t>水运</w:t>
      </w:r>
      <w:r>
        <w:rPr>
          <w:rFonts w:hint="eastAsia" w:ascii="宋体" w:hAnsi="宋体"/>
        </w:rPr>
        <w:t>：全市通航里程达568公里。广元港是全省水运发展“四江六港”布局的重要组成部分，是全省6大港口之一，是距我国西部内陆最近的港口，是广元融入成渝、联动川陕、对接西北，建设川陕甘结合部现代化中心城市的重要支撑。广元港昭化、苍溪港区建成开港，嘉陵江时隔30年再次实现全江通航，广元至重庆集装箱班轮开通，具备常态化运营条件。</w:t>
      </w:r>
    </w:p>
    <w:p>
      <w:pPr>
        <w:adjustRightInd w:val="0"/>
        <w:snapToGrid w:val="0"/>
        <w:ind w:firstLine="562"/>
        <w:rPr>
          <w:rFonts w:ascii="宋体" w:hAnsi="宋体"/>
          <w:color w:val="000000"/>
          <w:kern w:val="0"/>
        </w:rPr>
      </w:pPr>
      <w:r>
        <w:rPr>
          <w:rFonts w:hint="eastAsia" w:ascii="宋体" w:hAnsi="宋体"/>
          <w:b/>
          <w:color w:val="000000"/>
        </w:rPr>
        <w:t>市政设施持续完善。</w:t>
      </w:r>
      <w:r>
        <w:rPr>
          <w:rFonts w:hint="eastAsia" w:ascii="宋体" w:hAnsi="宋体"/>
          <w:color w:val="000000"/>
        </w:rPr>
        <w:t>城镇污水处理方面：深入实施城镇污水处理设施建设三年（2017-2019）行动、提质增效三年（2019-2021）行动，投资46.844亿元，累计建成污水处理设施厂（站）55座，新建污水管网445.89公里，改造老旧污水管网99.78公里，改造合流制污水管网73.67公里，污水处理率市城区达96.1%，县城达90%以上，建制镇达50%以上。城镇排水</w:t>
      </w:r>
      <w:r>
        <w:rPr>
          <w:rFonts w:ascii="宋体" w:hAnsi="宋体"/>
          <w:color w:val="000000"/>
        </w:rPr>
        <w:t>防涝设施</w:t>
      </w:r>
      <w:r>
        <w:rPr>
          <w:rFonts w:hint="eastAsia" w:ascii="宋体" w:hAnsi="宋体"/>
          <w:color w:val="000000"/>
        </w:rPr>
        <w:t>方面：</w:t>
      </w:r>
      <w:r>
        <w:rPr>
          <w:rFonts w:ascii="宋体" w:hAnsi="宋体"/>
          <w:color w:val="000000"/>
        </w:rPr>
        <w:t>截至2020年底，全市建成排水管道1628.39公里，其中雨水管道574.8公里。全市城镇排水管网密度达到13.03公里/平方公里，市城区排水管道密度达到14.5公里/平方公里</w:t>
      </w:r>
      <w:r>
        <w:rPr>
          <w:rFonts w:hint="eastAsia" w:ascii="宋体" w:hAnsi="宋体"/>
          <w:color w:val="000000"/>
        </w:rPr>
        <w:t>。</w:t>
      </w:r>
      <w:r>
        <w:rPr>
          <w:rFonts w:ascii="宋体" w:hAnsi="宋体"/>
          <w:color w:val="000000"/>
        </w:rPr>
        <w:t>城市内涝防治设计重现期为20—30年，</w:t>
      </w:r>
      <w:r>
        <w:rPr>
          <w:rFonts w:hint="eastAsia" w:ascii="宋体" w:hAnsi="宋体"/>
          <w:color w:val="000000"/>
        </w:rPr>
        <w:t>市城区</w:t>
      </w:r>
      <w:r>
        <w:rPr>
          <w:rFonts w:ascii="宋体" w:hAnsi="宋体"/>
          <w:color w:val="000000"/>
        </w:rPr>
        <w:t>和县城基本完成排水管网的雨污分流制改造，基本建成较为完善的城镇排水防涝体系。</w:t>
      </w:r>
      <w:r>
        <w:rPr>
          <w:rFonts w:hint="eastAsia" w:ascii="宋体" w:hAnsi="宋体"/>
          <w:color w:val="000000"/>
        </w:rPr>
        <w:t>海绵城市建设方面：截至</w:t>
      </w:r>
      <w:r>
        <w:rPr>
          <w:rFonts w:ascii="宋体" w:hAnsi="宋体"/>
          <w:color w:val="000000"/>
        </w:rPr>
        <w:t>2021年</w:t>
      </w:r>
      <w:r>
        <w:rPr>
          <w:rFonts w:hint="eastAsia" w:ascii="宋体" w:hAnsi="宋体"/>
          <w:color w:val="000000"/>
        </w:rPr>
        <w:t>底</w:t>
      </w:r>
      <w:r>
        <w:rPr>
          <w:rFonts w:ascii="宋体" w:hAnsi="宋体"/>
          <w:color w:val="000000"/>
        </w:rPr>
        <w:t>，</w:t>
      </w:r>
      <w:r>
        <w:rPr>
          <w:rFonts w:hint="eastAsia" w:ascii="宋体" w:hAnsi="宋体"/>
          <w:color w:val="000000"/>
        </w:rPr>
        <w:t>我</w:t>
      </w:r>
      <w:r>
        <w:rPr>
          <w:rFonts w:ascii="宋体" w:hAnsi="宋体"/>
          <w:color w:val="000000"/>
        </w:rPr>
        <w:t>市完成海绵城市建设项目69个，累计投入资金近50亿元，建成海绵城市达标面积18.65平方公里，建成区海绵城市面积比达27.56%。</w:t>
      </w:r>
      <w:r>
        <w:rPr>
          <w:rFonts w:hint="eastAsia" w:ascii="宋体" w:hAnsi="宋体"/>
          <w:color w:val="000000"/>
        </w:rPr>
        <w:t>供水设施方面：白龙水厂与西湾水厂联网运行，实现广元城区双水源供水，有效提升市城区安全供水保障能力，全市供水管道总长度累计</w:t>
      </w:r>
      <w:r>
        <w:rPr>
          <w:rFonts w:ascii="宋体" w:hAnsi="宋体"/>
          <w:color w:val="000000"/>
        </w:rPr>
        <w:t>1152.29公里，全市公共供水普及率达到96.47%，</w:t>
      </w:r>
      <w:r>
        <w:rPr>
          <w:rFonts w:hint="eastAsia" w:ascii="宋体" w:hAnsi="宋体"/>
          <w:color w:val="000000"/>
        </w:rPr>
        <w:t>其中：</w:t>
      </w:r>
      <w:r>
        <w:rPr>
          <w:rFonts w:ascii="宋体" w:hAnsi="宋体"/>
          <w:color w:val="000000"/>
        </w:rPr>
        <w:t>市城区公共供水普及率达96.02%，旺苍县、青川县、剑阁县、苍溪县城区公共供水普及率分别为95.81%、98.22%、98.56%、97.56%；市城区公共供水管网漏损率为9.91%</w:t>
      </w:r>
      <w:r>
        <w:rPr>
          <w:rFonts w:hint="eastAsia" w:ascii="宋体" w:hAnsi="宋体"/>
          <w:color w:val="000000"/>
        </w:rPr>
        <w:t>。燃气设施方面：全市天然气管道总长度达</w:t>
      </w:r>
      <w:r>
        <w:rPr>
          <w:rFonts w:ascii="宋体" w:hAnsi="宋体"/>
          <w:color w:val="000000"/>
        </w:rPr>
        <w:t>1540.92公里，天然气储气能力达</w:t>
      </w:r>
      <w:r>
        <w:rPr>
          <w:rFonts w:hint="eastAsia" w:ascii="宋体" w:hAnsi="宋体"/>
          <w:color w:val="000000"/>
        </w:rPr>
        <w:t>7</w:t>
      </w:r>
      <w:r>
        <w:rPr>
          <w:rFonts w:ascii="宋体" w:hAnsi="宋体"/>
          <w:color w:val="000000"/>
        </w:rPr>
        <w:t>万立方米，全市建成11座天然气加气站，城镇燃气设施建设稳步推进。全市燃气普及率达到98.08%，中心城区燃气普及率为99.03%。</w:t>
      </w:r>
      <w:r>
        <w:rPr>
          <w:rFonts w:hint="eastAsia" w:ascii="宋体" w:hAnsi="宋体"/>
          <w:color w:val="000000"/>
        </w:rPr>
        <w:t>电力设施方面：“十三五”期间，累计投资</w:t>
      </w:r>
      <w:r>
        <w:rPr>
          <w:rFonts w:ascii="宋体" w:hAnsi="宋体"/>
          <w:color w:val="000000"/>
        </w:rPr>
        <w:t>44亿元，新建（含扩建）500千伏线路145公里、220千伏线路32公里、110千伏及以下线路4389.55公里；新建（含扩建）110千伏变电站1座、35千伏变电站7座，新增变电容量31.22万千伏安</w:t>
      </w:r>
      <w:r>
        <w:rPr>
          <w:rFonts w:hint="eastAsia" w:ascii="宋体" w:hAnsi="宋体"/>
          <w:color w:val="000000"/>
        </w:rPr>
        <w:t>，</w:t>
      </w:r>
      <w:r>
        <w:rPr>
          <w:rFonts w:ascii="宋体" w:hAnsi="宋体"/>
          <w:color w:val="000000"/>
        </w:rPr>
        <w:t>形成以500千伏为电源支撑、220千伏为骨干网架、110千伏及以下电网分层分区的供电格局。农村电网改造升级大力推进，基本实现“农村居民生产生活用电、集体产业发展用电稳定保障”。</w:t>
      </w:r>
      <w:r>
        <w:rPr>
          <w:rFonts w:hint="eastAsia" w:ascii="宋体" w:hAnsi="宋体"/>
          <w:bCs/>
          <w:color w:val="000000"/>
          <w:kern w:val="0"/>
        </w:rPr>
        <w:t>综合管廊建设方面：</w:t>
      </w:r>
      <w:r>
        <w:rPr>
          <w:rFonts w:hint="eastAsia" w:ascii="宋体" w:hAnsi="宋体"/>
          <w:color w:val="000000"/>
          <w:kern w:val="0"/>
        </w:rPr>
        <w:t>城市地下综合管廊建设力度不断加大，截至2020年底，全市地下综合管廊建设累计完成31.19公里，城市道路综合管廊配建率达4.12%。</w:t>
      </w:r>
    </w:p>
    <w:p>
      <w:pPr>
        <w:pStyle w:val="7"/>
        <w:tabs>
          <w:tab w:val="left" w:pos="720"/>
        </w:tabs>
        <w:adjustRightInd w:val="0"/>
        <w:snapToGrid w:val="0"/>
        <w:rPr>
          <w:rFonts w:ascii="宋体" w:hAnsi="宋体"/>
          <w:color w:val="000000"/>
        </w:rPr>
      </w:pPr>
      <w:r>
        <w:rPr>
          <w:rFonts w:hint="eastAsia" w:ascii="宋体" w:hAnsi="宋体"/>
          <w:color w:val="000000"/>
        </w:rPr>
        <w:t>3.城市公共服务不断加强</w:t>
      </w:r>
    </w:p>
    <w:p>
      <w:pPr>
        <w:adjustRightInd w:val="0"/>
        <w:snapToGrid w:val="0"/>
        <w:ind w:firstLine="562"/>
        <w:rPr>
          <w:rFonts w:ascii="宋体" w:hAnsi="宋体"/>
          <w:color w:val="000000"/>
        </w:rPr>
      </w:pPr>
      <w:r>
        <w:rPr>
          <w:rFonts w:hint="eastAsia" w:ascii="宋体" w:hAnsi="宋体"/>
          <w:b/>
          <w:color w:val="000000"/>
        </w:rPr>
        <w:t>社会公共服务不断完善。</w:t>
      </w:r>
      <w:r>
        <w:rPr>
          <w:rFonts w:hint="eastAsia" w:ascii="宋体" w:hAnsi="宋体"/>
          <w:color w:val="000000"/>
        </w:rPr>
        <w:t>按照“提升服务体系覆盖率、提升服务资源使用率、提升服务质量满意率”，持续加强养老服务体系建设。实施养老机构服务质量提升</w:t>
      </w:r>
      <w:r>
        <w:rPr>
          <w:rFonts w:ascii="宋体" w:hAnsi="宋体"/>
          <w:color w:val="000000"/>
        </w:rPr>
        <w:t>3年专项行动，改造公办养老机构63个，改造床位5890张，改造资金5300余万元。养老机构总数达到131家、床位12405张，医养结合机构18家，建成社区日间照料中心327个、省级养老服务示范社区19个、农村幸福院344个。全面放开养老服务市场，鼓励社会力量参与养老服务事业，对民办养老机构实行优惠政策。积极推进农村养老机构面向困难老人提供养老服务。</w:t>
      </w:r>
    </w:p>
    <w:p>
      <w:pPr>
        <w:adjustRightInd w:val="0"/>
        <w:snapToGrid w:val="0"/>
        <w:ind w:firstLine="562"/>
        <w:rPr>
          <w:rFonts w:ascii="宋体" w:hAnsi="宋体"/>
          <w:color w:val="000000"/>
        </w:rPr>
      </w:pPr>
      <w:r>
        <w:rPr>
          <w:rFonts w:hint="eastAsia" w:ascii="宋体" w:hAnsi="宋体"/>
          <w:b/>
          <w:color w:val="000000"/>
        </w:rPr>
        <w:t>教育基础更加坚实、教育质量提升明显。</w:t>
      </w:r>
      <w:r>
        <w:rPr>
          <w:rFonts w:hint="eastAsia" w:ascii="宋体" w:hAnsi="宋体"/>
          <w:color w:val="000000"/>
        </w:rPr>
        <w:t>全市</w:t>
      </w:r>
      <w:r>
        <w:rPr>
          <w:rFonts w:ascii="宋体" w:hAnsi="宋体"/>
          <w:color w:val="000000"/>
        </w:rPr>
        <w:t>7个县区全部通过义务教育均衡评估验收</w:t>
      </w:r>
      <w:r>
        <w:rPr>
          <w:rFonts w:hint="eastAsia" w:ascii="宋体" w:hAnsi="宋体"/>
          <w:color w:val="000000"/>
        </w:rPr>
        <w:t>，</w:t>
      </w:r>
      <w:r>
        <w:rPr>
          <w:rFonts w:ascii="宋体" w:hAnsi="宋体"/>
          <w:color w:val="000000"/>
        </w:rPr>
        <w:t>连续实施三期“学前教育三年行动计划”，全市学前三年毛入园率达到92％，普惠性学前教育资源覆盖率达91.13％，公办园在园幼儿占比达53.24%。推进教育集团办学和“小微”学校联盟发展，评定“美丽乡村学校”107所，66人以上超大班额基本消除。适龄儿童入学率达100%，九年义务教育巩固率达97%。外来务工人员随迁子女受教育权利得到保障，义务教育阶段残疾儿童入学率</w:t>
      </w:r>
      <w:r>
        <w:rPr>
          <w:rFonts w:hint="eastAsia" w:ascii="宋体" w:hAnsi="宋体"/>
          <w:color w:val="000000"/>
        </w:rPr>
        <w:t>达</w:t>
      </w:r>
      <w:r>
        <w:rPr>
          <w:rFonts w:ascii="宋体" w:hAnsi="宋体"/>
          <w:color w:val="000000"/>
        </w:rPr>
        <w:t>95%以上。</w:t>
      </w:r>
      <w:r>
        <w:rPr>
          <w:rFonts w:hint="eastAsia" w:ascii="宋体" w:hAnsi="宋体"/>
          <w:color w:val="000000"/>
        </w:rPr>
        <w:t>实施“示范高中创建三年行动”，新建广元天立国际学校、万达中学、苍溪天立学校、旺苍博骏公学等一批优质品牌高中学校，新增省级示范高中</w:t>
      </w:r>
      <w:r>
        <w:rPr>
          <w:rFonts w:ascii="宋体" w:hAnsi="宋体"/>
          <w:color w:val="000000"/>
        </w:rPr>
        <w:t>6所，省级示范高中学生人数占比62%。高中阶段毛入学率92%，高考本科上线率43.6%，重本上线率10.6%，三大指标均有较大增长。2020年，共有52330名市外学生在广就读（其中义务教13429人、普通高中7738人、职业院校31163人）。投入1.55亿元高标准建成示范性综合实践基地，开发市内外研学线路21条、实践教育课程30余个，2018年以来共接待研学拓展30余万人次。</w:t>
      </w:r>
    </w:p>
    <w:p>
      <w:pPr>
        <w:adjustRightInd w:val="0"/>
        <w:snapToGrid w:val="0"/>
        <w:ind w:firstLine="562"/>
        <w:rPr>
          <w:rFonts w:ascii="宋体" w:hAnsi="宋体"/>
          <w:color w:val="000000"/>
        </w:rPr>
      </w:pPr>
      <w:r>
        <w:rPr>
          <w:rFonts w:hint="eastAsia" w:ascii="宋体" w:hAnsi="宋体"/>
          <w:b/>
          <w:color w:val="000000"/>
        </w:rPr>
        <w:t>医疗卫生资源大幅增加，群众就医保障能力不断提升。</w:t>
      </w:r>
      <w:r>
        <w:rPr>
          <w:rFonts w:hint="eastAsia" w:ascii="宋体" w:hAnsi="宋体"/>
          <w:color w:val="000000"/>
        </w:rPr>
        <w:t>截至</w:t>
      </w:r>
      <w:r>
        <w:rPr>
          <w:rFonts w:ascii="宋体" w:hAnsi="宋体"/>
          <w:color w:val="000000"/>
        </w:rPr>
        <w:t>2020年，全市有各级各类医疗卫生机构3370家，三甲医院6家，开放床位24125张，医疗卫生人员26691人，每千常驻人口床位8.96张、卫生技术人员7.18人。建成省级区域中医医疗中心、川北区域医疗中心和川东北区域精神卫生中心，入选国家级医养结合试点市，公共卫生服务体系更加完善，外地来广就医人数年均占比在12%以上。</w:t>
      </w:r>
    </w:p>
    <w:p>
      <w:pPr>
        <w:pStyle w:val="7"/>
        <w:tabs>
          <w:tab w:val="left" w:pos="720"/>
        </w:tabs>
        <w:adjustRightInd w:val="0"/>
        <w:snapToGrid w:val="0"/>
        <w:rPr>
          <w:rFonts w:ascii="宋体" w:hAnsi="宋体"/>
          <w:color w:val="000000"/>
        </w:rPr>
      </w:pPr>
      <w:r>
        <w:rPr>
          <w:rFonts w:hint="eastAsia" w:ascii="宋体" w:hAnsi="宋体"/>
          <w:color w:val="000000"/>
        </w:rPr>
        <w:t>4.</w:t>
      </w:r>
      <w:r>
        <w:rPr>
          <w:rFonts w:ascii="宋体" w:hAnsi="宋体"/>
          <w:color w:val="000000"/>
        </w:rPr>
        <w:t>城乡住房条件明显改</w:t>
      </w:r>
      <w:r>
        <w:rPr>
          <w:rFonts w:hint="eastAsia" w:ascii="宋体" w:hAnsi="宋体"/>
          <w:color w:val="000000"/>
        </w:rPr>
        <w:t>善</w:t>
      </w:r>
    </w:p>
    <w:p>
      <w:pPr>
        <w:adjustRightInd w:val="0"/>
        <w:snapToGrid w:val="0"/>
        <w:ind w:firstLine="562"/>
        <w:rPr>
          <w:rFonts w:ascii="宋体" w:hAnsi="宋体"/>
          <w:color w:val="000000"/>
        </w:rPr>
      </w:pPr>
      <w:r>
        <w:rPr>
          <w:rFonts w:hint="eastAsia" w:ascii="宋体" w:hAnsi="宋体"/>
          <w:b/>
          <w:color w:val="000000"/>
        </w:rPr>
        <w:t>城镇住房保障体系不断完善。</w:t>
      </w:r>
      <w:r>
        <w:rPr>
          <w:rFonts w:hint="eastAsia" w:ascii="宋体" w:hAnsi="宋体"/>
          <w:color w:val="000000"/>
        </w:rPr>
        <w:t>“十三五”期间将城镇低保、低收入住房困难家庭，城镇中等偏下收入住房困难家庭，新就业无房职工和在城镇稳定就业的外来务工人员等五类群体纳入了公共租赁住房保障，实现了公租房保障范围常住人口全覆盖。建立了公租房信息管理系统，实现了分配信息化、档案管理信息化、租金收缴信息化和维修养护信息化。</w:t>
      </w:r>
    </w:p>
    <w:p>
      <w:pPr>
        <w:adjustRightInd w:val="0"/>
        <w:snapToGrid w:val="0"/>
        <w:ind w:firstLine="562"/>
        <w:rPr>
          <w:rFonts w:ascii="宋体" w:hAnsi="宋体"/>
          <w:color w:val="000000"/>
        </w:rPr>
      </w:pPr>
      <w:r>
        <w:rPr>
          <w:rFonts w:ascii="宋体" w:hAnsi="宋体"/>
          <w:b/>
          <w:color w:val="000000"/>
        </w:rPr>
        <w:t>房地产市场持续平稳健康发展。</w:t>
      </w:r>
      <w:r>
        <w:rPr>
          <w:rFonts w:hint="eastAsia" w:ascii="宋体" w:hAnsi="宋体"/>
          <w:color w:val="000000"/>
        </w:rPr>
        <w:t>先后出台了《广元市商品房预售管理实施办法》《广元市商品房预售资金管理办法》《房地产市场平稳健康发展</w:t>
      </w:r>
      <w:r>
        <w:rPr>
          <w:rFonts w:ascii="宋体" w:hAnsi="宋体"/>
          <w:color w:val="000000"/>
        </w:rPr>
        <w:t>35条措施》《广元市分类化解处置房地产领域“问题楼盘”的指导意见》等政策，进一步规范</w:t>
      </w:r>
      <w:r>
        <w:rPr>
          <w:rFonts w:hint="eastAsia" w:ascii="宋体" w:hAnsi="宋体"/>
          <w:color w:val="000000"/>
        </w:rPr>
        <w:t>了</w:t>
      </w:r>
      <w:r>
        <w:rPr>
          <w:rFonts w:ascii="宋体" w:hAnsi="宋体"/>
          <w:color w:val="000000"/>
        </w:rPr>
        <w:t>房地产开发建设。五年间，完成房地产开发投资448.4亿元，商品住宅销售面积904.23万平方米，人均住房面积由“十二五”末的40.2平方米提高到42.0平方米（2019年），位居全省第1，城镇居民家庭住房条件得到显著提高</w:t>
      </w:r>
      <w:r>
        <w:rPr>
          <w:rFonts w:hint="eastAsia" w:ascii="宋体" w:hAnsi="宋体"/>
          <w:color w:val="000000"/>
        </w:rPr>
        <w:t>。</w:t>
      </w:r>
    </w:p>
    <w:p>
      <w:pPr>
        <w:adjustRightInd w:val="0"/>
        <w:snapToGrid w:val="0"/>
        <w:ind w:firstLine="562"/>
        <w:rPr>
          <w:rFonts w:ascii="宋体" w:hAnsi="宋体"/>
          <w:color w:val="000000"/>
        </w:rPr>
      </w:pPr>
      <w:r>
        <w:rPr>
          <w:rFonts w:hint="eastAsia" w:ascii="宋体" w:hAnsi="宋体"/>
          <w:b/>
          <w:color w:val="000000"/>
        </w:rPr>
        <w:t>老旧小区改造加快推进。</w:t>
      </w:r>
      <w:r>
        <w:rPr>
          <w:rFonts w:hint="eastAsia" w:ascii="宋体" w:hAnsi="宋体"/>
          <w:color w:val="000000"/>
        </w:rPr>
        <w:t>城镇老旧小区改造全面推开。按照“先试点、后推广”工作思路，将</w:t>
      </w:r>
      <w:r>
        <w:rPr>
          <w:rFonts w:ascii="宋体" w:hAnsi="宋体"/>
          <w:color w:val="000000"/>
        </w:rPr>
        <w:t>2000年以前建成的老旧小区全部纳入规划范围，再结合居民意愿逐步推进实施</w:t>
      </w:r>
      <w:r>
        <w:rPr>
          <w:rFonts w:hint="eastAsia" w:ascii="宋体" w:hAnsi="宋体"/>
          <w:color w:val="000000"/>
        </w:rPr>
        <w:t>。</w:t>
      </w:r>
      <w:r>
        <w:rPr>
          <w:rFonts w:ascii="宋体" w:hAnsi="宋体"/>
          <w:color w:val="000000"/>
        </w:rPr>
        <w:t>先后出台了《广元市城镇老旧小区改造操作指南》等政策，按照“先基础、再完善、后提升”原则，自2019年启动实施以来，累计投资84320万元，开工改造城镇老旧小区673个，完工497个，惠及住房困难群众3.36万户。</w:t>
      </w:r>
    </w:p>
    <w:p>
      <w:pPr>
        <w:adjustRightInd w:val="0"/>
        <w:snapToGrid w:val="0"/>
        <w:ind w:firstLine="562"/>
        <w:rPr>
          <w:rFonts w:ascii="宋体" w:hAnsi="宋体"/>
          <w:color w:val="000000"/>
        </w:rPr>
      </w:pPr>
      <w:r>
        <w:rPr>
          <w:rFonts w:ascii="宋体" w:hAnsi="宋体"/>
          <w:b/>
          <w:color w:val="000000"/>
        </w:rPr>
        <w:t>脱贫攻坚农房安全全面保障</w:t>
      </w:r>
      <w:r>
        <w:rPr>
          <w:rFonts w:hint="eastAsia" w:ascii="宋体" w:hAnsi="宋体"/>
          <w:b/>
          <w:color w:val="000000"/>
        </w:rPr>
        <w:t>。</w:t>
      </w:r>
      <w:r>
        <w:rPr>
          <w:rFonts w:hint="eastAsia" w:ascii="宋体" w:hAnsi="宋体"/>
          <w:color w:val="000000"/>
        </w:rPr>
        <w:t>提前一年完成“十三五”确定的安居扶贫农房改造任务。截至</w:t>
      </w:r>
      <w:r>
        <w:rPr>
          <w:rFonts w:ascii="宋体" w:hAnsi="宋体"/>
          <w:color w:val="000000"/>
        </w:rPr>
        <w:t>2019年底，累计争取上级补助资金9.04亿元，完成农村“四类人员”危房改造52784户（贫困户34074户），占5年总任务的64.6%，所有贫困户住房通过安全评定鉴定。累计改造土坯房15.2万户。高质量承办2018年全省脱贫攻坚住房安全保障现场会，昭化区农村危房改造工作成为全省唯一受到国务院激励督查表彰县区。</w:t>
      </w:r>
    </w:p>
    <w:p>
      <w:pPr>
        <w:adjustRightInd w:val="0"/>
        <w:snapToGrid w:val="0"/>
        <w:ind w:firstLine="562"/>
        <w:rPr>
          <w:rFonts w:ascii="宋体" w:hAnsi="宋体"/>
          <w:color w:val="000000"/>
        </w:rPr>
      </w:pPr>
      <w:r>
        <w:rPr>
          <w:rFonts w:hint="eastAsia" w:ascii="宋体" w:hAnsi="宋体"/>
          <w:b/>
          <w:color w:val="000000"/>
        </w:rPr>
        <w:t>现代物业管理体系</w:t>
      </w:r>
      <w:r>
        <w:rPr>
          <w:rFonts w:ascii="宋体" w:hAnsi="宋体"/>
          <w:b/>
          <w:color w:val="000000"/>
        </w:rPr>
        <w:t>持续完善。</w:t>
      </w:r>
      <w:r>
        <w:rPr>
          <w:rFonts w:hint="eastAsia" w:ascii="宋体" w:hAnsi="宋体"/>
          <w:color w:val="000000"/>
        </w:rPr>
        <w:t>“十三五”期间</w:t>
      </w:r>
      <w:r>
        <w:rPr>
          <w:rFonts w:ascii="宋体" w:hAnsi="宋体"/>
          <w:color w:val="000000"/>
        </w:rPr>
        <w:t>，</w:t>
      </w:r>
      <w:r>
        <w:rPr>
          <w:rFonts w:hint="eastAsia" w:ascii="宋体" w:hAnsi="宋体"/>
          <w:color w:val="000000"/>
        </w:rPr>
        <w:t>出台了《广元市物业管理办法》，着力完善现代物业管理体系，维护物业管理企业及业主合法权益，预防纠纷源头，提升物业服务质量与水平。</w:t>
      </w:r>
      <w:r>
        <w:rPr>
          <w:rFonts w:ascii="宋体" w:hAnsi="宋体"/>
          <w:color w:val="000000"/>
        </w:rPr>
        <w:t>全市1162个住宅小区中，委托有物业公司管理</w:t>
      </w:r>
      <w:r>
        <w:rPr>
          <w:rFonts w:hint="eastAsia" w:ascii="宋体" w:hAnsi="宋体"/>
          <w:color w:val="000000"/>
        </w:rPr>
        <w:t>的数量</w:t>
      </w:r>
      <w:r>
        <w:rPr>
          <w:rFonts w:ascii="宋体" w:hAnsi="宋体"/>
          <w:color w:val="000000"/>
        </w:rPr>
        <w:t>537个，实施专业化物业管理的住宅小区占比</w:t>
      </w:r>
      <w:r>
        <w:rPr>
          <w:rFonts w:hint="eastAsia" w:ascii="宋体" w:hAnsi="宋体"/>
          <w:color w:val="000000"/>
        </w:rPr>
        <w:t>为</w:t>
      </w:r>
      <w:r>
        <w:rPr>
          <w:rFonts w:ascii="宋体" w:hAnsi="宋体"/>
          <w:color w:val="000000"/>
        </w:rPr>
        <w:t>46.21%</w:t>
      </w:r>
      <w:r>
        <w:rPr>
          <w:rFonts w:hint="eastAsia" w:ascii="宋体" w:hAnsi="宋体"/>
          <w:color w:val="000000"/>
        </w:rPr>
        <w:t>，</w:t>
      </w:r>
      <w:r>
        <w:rPr>
          <w:rFonts w:ascii="宋体" w:hAnsi="宋体"/>
          <w:color w:val="000000"/>
        </w:rPr>
        <w:t>剩余均为业主自行管理、社区托管或其他方</w:t>
      </w:r>
      <w:r>
        <w:rPr>
          <w:rFonts w:hint="eastAsia" w:ascii="宋体" w:hAnsi="宋体"/>
          <w:color w:val="000000"/>
        </w:rPr>
        <w:t>式管理，保障型物业均是通过政府招投标选聘的物业企业。</w:t>
      </w:r>
    </w:p>
    <w:p>
      <w:pPr>
        <w:pStyle w:val="7"/>
        <w:tabs>
          <w:tab w:val="left" w:pos="720"/>
        </w:tabs>
        <w:adjustRightInd w:val="0"/>
        <w:snapToGrid w:val="0"/>
        <w:rPr>
          <w:rFonts w:ascii="宋体" w:hAnsi="宋体"/>
          <w:color w:val="000000"/>
        </w:rPr>
      </w:pPr>
      <w:r>
        <w:rPr>
          <w:rFonts w:ascii="宋体" w:hAnsi="宋体"/>
          <w:color w:val="000000"/>
        </w:rPr>
        <w:t>5</w:t>
      </w:r>
      <w:r>
        <w:rPr>
          <w:rFonts w:hint="eastAsia" w:ascii="宋体" w:hAnsi="宋体"/>
          <w:color w:val="000000"/>
        </w:rPr>
        <w:t>.</w:t>
      </w:r>
      <w:r>
        <w:rPr>
          <w:rFonts w:ascii="宋体" w:hAnsi="宋体"/>
          <w:color w:val="000000"/>
        </w:rPr>
        <w:t>城乡历史文化保护扎实开展</w:t>
      </w:r>
    </w:p>
    <w:p>
      <w:pPr>
        <w:adjustRightInd w:val="0"/>
        <w:snapToGrid w:val="0"/>
        <w:ind w:firstLine="560"/>
        <w:rPr>
          <w:rFonts w:ascii="宋体" w:hAnsi="宋体"/>
          <w:color w:val="000000"/>
        </w:rPr>
      </w:pPr>
      <w:r>
        <w:rPr>
          <w:rFonts w:ascii="宋体" w:hAnsi="宋体"/>
          <w:color w:val="000000"/>
        </w:rPr>
        <w:t>推动出台《广元市历史乡土建筑和传统村落保护办法》。“十三五”以来，累计命名国家级传统村落26个，国家级历史文化名镇1个；命名省级传统村落58个，省级最美古村落5个，省级历史文化名镇1个，省级最美古镇1个，争取中央补助资金0.36亿元。</w:t>
      </w:r>
    </w:p>
    <w:p>
      <w:pPr>
        <w:pStyle w:val="7"/>
        <w:tabs>
          <w:tab w:val="left" w:pos="720"/>
        </w:tabs>
        <w:adjustRightInd w:val="0"/>
        <w:snapToGrid w:val="0"/>
        <w:rPr>
          <w:rFonts w:ascii="宋体" w:hAnsi="宋体"/>
          <w:color w:val="000000"/>
        </w:rPr>
      </w:pPr>
      <w:r>
        <w:rPr>
          <w:rFonts w:ascii="宋体" w:hAnsi="宋体"/>
          <w:color w:val="000000"/>
        </w:rPr>
        <w:t>6</w:t>
      </w:r>
      <w:r>
        <w:rPr>
          <w:rFonts w:hint="eastAsia" w:ascii="宋体" w:hAnsi="宋体"/>
          <w:color w:val="000000"/>
        </w:rPr>
        <w:t>.</w:t>
      </w:r>
      <w:r>
        <w:rPr>
          <w:rFonts w:ascii="宋体" w:hAnsi="宋体"/>
          <w:color w:val="000000"/>
        </w:rPr>
        <w:t>城乡综合治理能力不断增强</w:t>
      </w:r>
    </w:p>
    <w:p>
      <w:pPr>
        <w:adjustRightInd w:val="0"/>
        <w:snapToGrid w:val="0"/>
        <w:ind w:firstLine="560"/>
        <w:rPr>
          <w:color w:val="000000"/>
        </w:rPr>
      </w:pPr>
      <w:r>
        <w:rPr>
          <w:rFonts w:hint="eastAsia"/>
          <w:color w:val="000000"/>
        </w:rPr>
        <w:t>“十三五”期间，以加强广元市住房城乡建设行业规范化、标准化、精细化建设为抓手，全面在抓标准、抓协调、抓推进、抓绩效上下足功夫，通过抓好、抓实、抓细等措施促进广元市建筑业健康发展、房地产业有效稳控、在农村土坯房改造、保障性住房建设、城市重点项目建设、黑臭水体整治、城镇污水治理、机关精细化规范化建设、机构改革以及党委自身建设和党风廉政建设等各项工作中，全力推进住建行业规范化、标准化建设，不断提升敬业奉献、爱民为民的住建情怀。</w:t>
      </w:r>
    </w:p>
    <w:p>
      <w:pPr>
        <w:pStyle w:val="6"/>
        <w:tabs>
          <w:tab w:val="left" w:pos="2779"/>
        </w:tabs>
        <w:ind w:firstLine="141"/>
        <w:rPr>
          <w:rFonts w:ascii="宋体" w:hAnsi="宋体"/>
          <w:color w:val="000000"/>
        </w:rPr>
      </w:pPr>
      <w:bookmarkStart w:id="16" w:name="_Toc118566526"/>
      <w:bookmarkStart w:id="17" w:name="_Toc118566393"/>
      <w:bookmarkStart w:id="18" w:name="_Toc118566260"/>
      <w:bookmarkStart w:id="19" w:name="_Toc118566660"/>
      <w:r>
        <w:rPr>
          <w:rFonts w:hint="eastAsia" w:ascii="宋体" w:hAnsi="宋体"/>
          <w:color w:val="000000"/>
        </w:rPr>
        <w:t>（二）存在问题</w:t>
      </w:r>
      <w:bookmarkEnd w:id="16"/>
      <w:bookmarkEnd w:id="17"/>
      <w:bookmarkEnd w:id="18"/>
      <w:bookmarkEnd w:id="19"/>
      <w:r>
        <w:rPr>
          <w:rFonts w:ascii="宋体" w:hAnsi="宋体"/>
          <w:color w:val="000000"/>
        </w:rPr>
        <w:tab/>
      </w:r>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w:t>
      </w:r>
      <w:r>
        <w:rPr>
          <w:rFonts w:hint="eastAsia" w:ascii="宋体" w:hAnsi="宋体"/>
          <w:color w:val="000000"/>
        </w:rPr>
        <w:t>生态资源开发利用不够</w:t>
      </w:r>
    </w:p>
    <w:p>
      <w:pPr>
        <w:adjustRightInd w:val="0"/>
        <w:snapToGrid w:val="0"/>
        <w:ind w:firstLine="560"/>
        <w:rPr>
          <w:rFonts w:hint="eastAsia" w:ascii="宋体" w:hAnsi="宋体"/>
          <w:color w:val="000000"/>
        </w:rPr>
      </w:pPr>
      <w:r>
        <w:rPr>
          <w:rFonts w:hint="eastAsia" w:ascii="宋体" w:hAnsi="宋体"/>
          <w:color w:val="000000"/>
        </w:rPr>
        <w:t>滨水空间功能单调，“山、水、城”融合发展不足，嘉陵江、南河两岸滨水空间与城市功能互动薄弱，硬质河堤较多，亲水空间利用不足，城市滨水绿带过于狭窄局促，界面景观效果不佳。城市园林绿化品质不高，绿地结构层次不丰富，树种单一、布局不合理，植物造景运用较少，色彩和季相结合不够紧密，导致有绿量无景观、色彩单一，没有呈现出花开四季的园林城市景观。</w:t>
      </w:r>
    </w:p>
    <w:p>
      <w:pPr>
        <w:pStyle w:val="7"/>
        <w:tabs>
          <w:tab w:val="left" w:pos="720"/>
        </w:tabs>
        <w:adjustRightInd w:val="0"/>
        <w:snapToGrid w:val="0"/>
        <w:rPr>
          <w:rFonts w:ascii="宋体" w:hAnsi="宋体"/>
          <w:color w:val="000000"/>
        </w:rPr>
      </w:pPr>
      <w:r>
        <w:rPr>
          <w:rFonts w:ascii="宋体" w:hAnsi="宋体"/>
          <w:color w:val="000000"/>
        </w:rPr>
        <w:t>2</w:t>
      </w:r>
      <w:r>
        <w:rPr>
          <w:rFonts w:hint="eastAsia" w:ascii="宋体" w:hAnsi="宋体"/>
          <w:color w:val="000000"/>
        </w:rPr>
        <w:t>.</w:t>
      </w:r>
      <w:r>
        <w:rPr>
          <w:rFonts w:ascii="宋体" w:hAnsi="宋体"/>
          <w:color w:val="000000"/>
        </w:rPr>
        <w:t>城乡住房保障体系需不断优化</w:t>
      </w:r>
    </w:p>
    <w:p>
      <w:pPr>
        <w:adjustRightInd w:val="0"/>
        <w:snapToGrid w:val="0"/>
        <w:ind w:firstLine="560"/>
        <w:rPr>
          <w:rFonts w:ascii="宋体" w:hAnsi="宋体"/>
          <w:color w:val="000000"/>
        </w:rPr>
      </w:pPr>
      <w:r>
        <w:rPr>
          <w:rFonts w:hint="eastAsia" w:ascii="宋体" w:hAnsi="宋体"/>
          <w:color w:val="000000"/>
        </w:rPr>
        <w:t>住房市场和住房保障两个体系衔接不够。住房保障社会力量参与不足，新市民住房保障有待加强。物业服务理念总体滞后，服务内容和质量与人民群众的要求还有较大差距。广元老旧小区较多，居住环境有待提升，部分住宅小区居住配套不够完善，城镇老旧小区改造存在“重面子、轻里子”现象。物业管理服务理念滞后，部门间联动不强，存在物业服务标准不明确，覆盖率不高等问题，与人民群众的要求还有一定差距。</w:t>
      </w:r>
    </w:p>
    <w:p>
      <w:pPr>
        <w:pStyle w:val="7"/>
        <w:tabs>
          <w:tab w:val="left" w:pos="720"/>
        </w:tabs>
        <w:adjustRightInd w:val="0"/>
        <w:snapToGrid w:val="0"/>
        <w:rPr>
          <w:rFonts w:ascii="宋体" w:hAnsi="宋体"/>
          <w:color w:val="000000"/>
        </w:rPr>
      </w:pPr>
      <w:r>
        <w:rPr>
          <w:rFonts w:ascii="宋体" w:hAnsi="宋体"/>
          <w:color w:val="000000"/>
        </w:rPr>
        <w:t>3</w:t>
      </w:r>
      <w:r>
        <w:rPr>
          <w:rFonts w:hint="eastAsia" w:ascii="宋体" w:hAnsi="宋体"/>
          <w:color w:val="000000"/>
        </w:rPr>
        <w:t>.城乡</w:t>
      </w:r>
      <w:r>
        <w:rPr>
          <w:rFonts w:ascii="宋体" w:hAnsi="宋体"/>
          <w:color w:val="000000"/>
        </w:rPr>
        <w:t>基础设施</w:t>
      </w:r>
      <w:r>
        <w:rPr>
          <w:rFonts w:hint="eastAsia" w:ascii="宋体" w:hAnsi="宋体"/>
          <w:color w:val="000000"/>
        </w:rPr>
        <w:t>建设投资不足，</w:t>
      </w:r>
      <w:r>
        <w:rPr>
          <w:rFonts w:ascii="宋体" w:hAnsi="宋体"/>
          <w:color w:val="000000"/>
        </w:rPr>
        <w:t>短板多，支撑能力较弱</w:t>
      </w:r>
    </w:p>
    <w:p>
      <w:pPr>
        <w:adjustRightInd w:val="0"/>
        <w:snapToGrid w:val="0"/>
        <w:ind w:firstLine="560"/>
        <w:rPr>
          <w:rFonts w:ascii="宋体" w:hAnsi="宋体"/>
          <w:color w:val="000000"/>
        </w:rPr>
      </w:pPr>
      <w:r>
        <w:rPr>
          <w:rFonts w:hint="eastAsia" w:ascii="宋体" w:hAnsi="宋体"/>
          <w:color w:val="000000"/>
        </w:rPr>
        <w:t>“十三五”期间，市政基础设施建设资金投入不足。</w:t>
      </w:r>
      <w:r>
        <w:rPr>
          <w:rFonts w:ascii="宋体" w:hAnsi="宋体"/>
          <w:color w:val="000000"/>
        </w:rPr>
        <w:t>2020年广元市全年地区生产总值（GDP）1008.01亿元，经济总量仅占四川省的2.07%，整体上经济发展水平较低。同时由于广元市基础设施建设投融资渠道单一，政府仍是投资主体，市场化程度不高，导致市政基础设施投资总量不足，资金缺口较大。</w:t>
      </w:r>
    </w:p>
    <w:p>
      <w:pPr>
        <w:adjustRightInd w:val="0"/>
        <w:snapToGrid w:val="0"/>
        <w:ind w:firstLine="562"/>
        <w:rPr>
          <w:rFonts w:ascii="宋体" w:hAnsi="宋体"/>
          <w:color w:val="000000"/>
        </w:rPr>
      </w:pPr>
      <w:r>
        <w:rPr>
          <w:rFonts w:hint="eastAsia" w:ascii="宋体" w:hAnsi="宋体"/>
          <w:b/>
          <w:color w:val="000000"/>
        </w:rPr>
        <w:t>城市交通建设</w:t>
      </w:r>
      <w:r>
        <w:rPr>
          <w:rFonts w:ascii="宋体" w:hAnsi="宋体"/>
          <w:b/>
          <w:color w:val="000000"/>
        </w:rPr>
        <w:t>体系不完善</w:t>
      </w:r>
      <w:r>
        <w:rPr>
          <w:rFonts w:hint="eastAsia" w:ascii="宋体" w:hAnsi="宋体"/>
          <w:b/>
          <w:color w:val="000000"/>
        </w:rPr>
        <w:t>。</w:t>
      </w:r>
      <w:r>
        <w:rPr>
          <w:rFonts w:hint="eastAsia" w:ascii="宋体" w:hAnsi="宋体"/>
          <w:color w:val="000000"/>
        </w:rPr>
        <w:t>城市交通路网级配不满足发展需求，截至</w:t>
      </w:r>
      <w:r>
        <w:rPr>
          <w:rFonts w:ascii="宋体" w:hAnsi="宋体"/>
          <w:color w:val="000000"/>
        </w:rPr>
        <w:t>2020年，我市建成区路网密度为6.56公里/平方公里，低于全省7.03公里/平方公里的水平，人均道路面积为15.40平方米，与全省城市人均道路面积16.77平方米相比，处于全省平均水平之下。在川东北5市中人均道路面积仅高于达州和南充（广安19.59平米，巴中17.13平米，南充15.22平米，达州11.91），道路总长度756.97公里位于最后一位（广安1205.9公里，巴中1396.8公里，南充1779.6公里，达州1510.56公里）。</w:t>
      </w:r>
    </w:p>
    <w:p>
      <w:pPr>
        <w:adjustRightInd w:val="0"/>
        <w:snapToGrid w:val="0"/>
        <w:ind w:firstLine="562"/>
        <w:rPr>
          <w:rFonts w:ascii="宋体" w:hAnsi="宋体"/>
          <w:color w:val="000000"/>
        </w:rPr>
      </w:pPr>
      <w:r>
        <w:rPr>
          <w:rFonts w:hint="eastAsia" w:ascii="宋体" w:hAnsi="宋体"/>
          <w:b/>
          <w:color w:val="000000"/>
        </w:rPr>
        <w:t>城镇供水</w:t>
      </w:r>
      <w:r>
        <w:rPr>
          <w:rFonts w:ascii="宋体" w:hAnsi="宋体"/>
          <w:b/>
          <w:color w:val="000000"/>
        </w:rPr>
        <w:t>安全保障能力仍需加强</w:t>
      </w:r>
      <w:r>
        <w:rPr>
          <w:rFonts w:hint="eastAsia" w:ascii="宋体" w:hAnsi="宋体"/>
          <w:b/>
          <w:color w:val="000000"/>
        </w:rPr>
        <w:t>。</w:t>
      </w:r>
      <w:r>
        <w:rPr>
          <w:rFonts w:hint="eastAsia" w:ascii="宋体" w:hAnsi="宋体"/>
          <w:color w:val="000000"/>
        </w:rPr>
        <w:t>饮用水水源地输入型污染风险客观存在。我市地处川陕甘三省交界处，嘉陵江是主要的城市饮用水水源地，由于上游存在大量矿山企业、尾矿库以及上游环境基础设施较为薄弱，近年来已多次发生铊污染、锑污染、垃圾入侵等上游输入型污染事件，严重威胁沿线饮用水安全和下游水环境安全。应急备用水源仍然不足，抗供水风险能力较差。全市县及以上城市仍有青川、剑阁等</w:t>
      </w:r>
      <w:r>
        <w:rPr>
          <w:rFonts w:ascii="宋体" w:hAnsi="宋体"/>
          <w:color w:val="000000"/>
        </w:rPr>
        <w:t>2个县城没有实现双水源保障。供水厂数量虽多，但供水分散、水厂规模小，布局不合理，2020年底公共供水普及率为96.47%，低于全省平均水平，部分供水管网陈旧，漏损老化严重，经常出现停水现象</w:t>
      </w:r>
      <w:r>
        <w:rPr>
          <w:rFonts w:hint="eastAsia" w:ascii="宋体" w:hAnsi="宋体"/>
          <w:color w:val="000000"/>
        </w:rPr>
        <w:t>，中心城区仍有</w:t>
      </w:r>
      <w:r>
        <w:rPr>
          <w:rFonts w:ascii="宋体" w:hAnsi="宋体"/>
          <w:color w:val="000000"/>
        </w:rPr>
        <w:t>110厂、112厂等厂矿居住区使用自备水源。</w:t>
      </w:r>
    </w:p>
    <w:p>
      <w:pPr>
        <w:adjustRightInd w:val="0"/>
        <w:snapToGrid w:val="0"/>
        <w:ind w:firstLine="562"/>
        <w:rPr>
          <w:rFonts w:ascii="宋体" w:hAnsi="宋体"/>
          <w:color w:val="000000"/>
        </w:rPr>
      </w:pPr>
      <w:r>
        <w:rPr>
          <w:rFonts w:hint="eastAsia" w:ascii="宋体" w:hAnsi="宋体"/>
          <w:b/>
          <w:color w:val="000000"/>
        </w:rPr>
        <w:t>污水处理设施建设滞后，再生水利用率低。</w:t>
      </w:r>
      <w:r>
        <w:rPr>
          <w:rFonts w:hint="eastAsia" w:ascii="宋体" w:hAnsi="宋体"/>
          <w:color w:val="000000"/>
        </w:rPr>
        <w:t>由于地方财力和技术力量薄弱，我市仍有</w:t>
      </w:r>
      <w:r>
        <w:rPr>
          <w:rFonts w:ascii="宋体" w:hAnsi="宋体"/>
          <w:color w:val="000000"/>
        </w:rPr>
        <w:t>26个建制乡镇未建设污水处理设施，已建成的污水处理设施也不同程度的存在管网不配套、运营维护不到位、管理缺少技术人才等问题，没有充分发挥污水处理设施建设效益。城区部分地段污水管网缺失，老化严重，管径过小，雨污合流段多。截</w:t>
      </w:r>
      <w:r>
        <w:rPr>
          <w:rFonts w:hint="eastAsia" w:ascii="宋体" w:hAnsi="宋体"/>
          <w:color w:val="000000"/>
        </w:rPr>
        <w:t>至</w:t>
      </w:r>
      <w:r>
        <w:rPr>
          <w:rFonts w:ascii="宋体" w:hAnsi="宋体"/>
          <w:color w:val="000000"/>
        </w:rPr>
        <w:t>2020年底，全市污水处理量6889.27万立方米/年，再生水利用率仅5.37%</w:t>
      </w:r>
      <w:r>
        <w:rPr>
          <w:rFonts w:hint="eastAsia" w:ascii="宋体" w:hAnsi="宋体"/>
          <w:color w:val="000000"/>
        </w:rPr>
        <w:t>。</w:t>
      </w:r>
    </w:p>
    <w:p>
      <w:pPr>
        <w:adjustRightInd w:val="0"/>
        <w:snapToGrid w:val="0"/>
        <w:ind w:firstLine="562"/>
        <w:rPr>
          <w:rFonts w:ascii="宋体" w:hAnsi="宋体"/>
          <w:color w:val="000000"/>
        </w:rPr>
      </w:pPr>
      <w:r>
        <w:rPr>
          <w:rFonts w:hint="eastAsia" w:ascii="宋体" w:hAnsi="宋体"/>
          <w:b/>
          <w:color w:val="000000"/>
        </w:rPr>
        <w:t>城镇燃气保障能力有待提升。</w:t>
      </w:r>
      <w:r>
        <w:rPr>
          <w:rFonts w:hint="eastAsia" w:ascii="宋体" w:hAnsi="宋体"/>
          <w:color w:val="000000"/>
        </w:rPr>
        <w:t>天然气供应能力不足，应急气源保障能力不能满足要求，按规定地方政府要具备至少不低于</w:t>
      </w:r>
      <w:r>
        <w:rPr>
          <w:rFonts w:ascii="宋体" w:hAnsi="宋体"/>
          <w:color w:val="000000"/>
        </w:rPr>
        <w:t>3天用气量的天然气储蓄调峰能力，按现有日均用气量测算我市储蓄能力需达到200万立方米，目前市城区天然气储蓄能力仅7万立方米，储蓄调峰时间不到30分钟。</w:t>
      </w:r>
    </w:p>
    <w:p>
      <w:pPr>
        <w:pStyle w:val="7"/>
        <w:tabs>
          <w:tab w:val="left" w:pos="720"/>
        </w:tabs>
        <w:adjustRightInd w:val="0"/>
        <w:snapToGrid w:val="0"/>
        <w:rPr>
          <w:rFonts w:ascii="宋体" w:hAnsi="宋体"/>
          <w:color w:val="000000"/>
        </w:rPr>
      </w:pPr>
      <w:r>
        <w:rPr>
          <w:rFonts w:ascii="宋体" w:hAnsi="宋体"/>
          <w:color w:val="000000"/>
        </w:rPr>
        <w:t>4</w:t>
      </w:r>
      <w:r>
        <w:rPr>
          <w:rFonts w:hint="eastAsia" w:ascii="宋体" w:hAnsi="宋体"/>
          <w:color w:val="000000"/>
        </w:rPr>
        <w:t>.</w:t>
      </w:r>
      <w:r>
        <w:rPr>
          <w:rFonts w:ascii="宋体" w:hAnsi="宋体"/>
          <w:color w:val="000000"/>
        </w:rPr>
        <w:t>城乡公共服务差距较大，资源配置困难</w:t>
      </w:r>
    </w:p>
    <w:p>
      <w:pPr>
        <w:adjustRightInd w:val="0"/>
        <w:snapToGrid w:val="0"/>
        <w:ind w:firstLine="560"/>
        <w:rPr>
          <w:rFonts w:ascii="宋体" w:hAnsi="宋体"/>
          <w:color w:val="000000"/>
        </w:rPr>
      </w:pPr>
      <w:r>
        <w:rPr>
          <w:rFonts w:hint="eastAsia" w:ascii="宋体" w:hAnsi="宋体"/>
          <w:color w:val="000000"/>
        </w:rPr>
        <w:t>医疗卫生、教育、养老、文化体育等公共服务设施整体水平有待进一步提升，主要存在体系不够健全、区域差异和城乡差距较大等问题。医疗卫生方面，医疗资源的薄弱成为“就医难”的主要原因，优质医疗资源缺乏，区域不平衡现象仍然存在，基层医疗卫生服务能力亟待提高。教育方面，学前教育资源总量和结构性短缺，优质公办学前教育资源仍严重不足；义务教育和普通高中“大班额”问题仍然存在，中小学布局有待进一步优化。文化体育方面，部分区县尚未建设相应级别的全民健身活动中心、体育休闲公园、运动场等基本公共体育设施；各市县普遍缺乏系统的文体设施规划，社区文体设施落地难。养老方面，城乡社区尚未配套充足的养老设施。</w:t>
      </w:r>
    </w:p>
    <w:p>
      <w:pPr>
        <w:pStyle w:val="7"/>
        <w:tabs>
          <w:tab w:val="left" w:pos="720"/>
        </w:tabs>
        <w:adjustRightInd w:val="0"/>
        <w:snapToGrid w:val="0"/>
        <w:rPr>
          <w:rFonts w:ascii="宋体" w:hAnsi="宋体"/>
          <w:color w:val="000000"/>
        </w:rPr>
      </w:pPr>
      <w:r>
        <w:rPr>
          <w:rFonts w:ascii="宋体" w:hAnsi="宋体"/>
          <w:color w:val="000000"/>
        </w:rPr>
        <w:t>5</w:t>
      </w:r>
      <w:r>
        <w:rPr>
          <w:rFonts w:hint="eastAsia" w:ascii="宋体" w:hAnsi="宋体"/>
          <w:color w:val="000000"/>
        </w:rPr>
        <w:t>.自然灾害风险复杂，应急管理体制</w:t>
      </w:r>
      <w:r>
        <w:rPr>
          <w:rFonts w:ascii="宋体" w:hAnsi="宋体"/>
          <w:color w:val="000000"/>
        </w:rPr>
        <w:t>有待完善</w:t>
      </w:r>
    </w:p>
    <w:p>
      <w:pPr>
        <w:adjustRightInd w:val="0"/>
        <w:snapToGrid w:val="0"/>
        <w:ind w:firstLine="560"/>
        <w:rPr>
          <w:rFonts w:ascii="宋体" w:hAnsi="宋体"/>
          <w:color w:val="000000"/>
        </w:rPr>
      </w:pPr>
      <w:r>
        <w:rPr>
          <w:rFonts w:hint="eastAsia" w:ascii="宋体" w:hAnsi="宋体"/>
          <w:color w:val="000000"/>
        </w:rPr>
        <w:t>广元自然灾害种类多、分布地域广、发生频率高、灾害损失重，地处龙门山断裂带，是典型的生态环境脆弱区、地震危险区、地质灾害高发区、洪涝灾害频发区，全市现有地质灾害隐患点</w:t>
      </w:r>
      <w:r>
        <w:rPr>
          <w:rFonts w:ascii="宋体" w:hAnsi="宋体"/>
          <w:color w:val="000000"/>
        </w:rPr>
        <w:t>1429处，涉及滑坡、崩塌、泥石流20处等六大类，威胁群众39000余人。广元属汶川特大地震重灾区之一，也是全省13个地震重点监视防御区之一，市内大部分地区位于地震烈度Ⅶ度及以上，特别是“5·12”地震后，断裂带活动频繁，地震风险较大。境内沟壑交错，山地气候特点突出，暴雨、洪涝、大风、冰雹、干旱、雷电、低温冰冻等气象灾害频发，极端天气衍生的地质灾</w:t>
      </w:r>
      <w:r>
        <w:rPr>
          <w:rFonts w:hint="eastAsia" w:ascii="宋体" w:hAnsi="宋体"/>
          <w:color w:val="000000"/>
        </w:rPr>
        <w:t>害、中小河流洪水、城市内涝等次生灾害严重。市内</w:t>
      </w:r>
      <w:r>
        <w:rPr>
          <w:rFonts w:ascii="宋体" w:hAnsi="宋体"/>
          <w:color w:val="000000"/>
        </w:rPr>
        <w:t>6个县区为森林火灾中风险区（苍溪县为低风险区），受冬干春旱气候影响，森林火灾易发且防控难度较大。</w:t>
      </w:r>
    </w:p>
    <w:p>
      <w:pPr>
        <w:adjustRightInd w:val="0"/>
        <w:snapToGrid w:val="0"/>
        <w:ind w:firstLine="560"/>
        <w:rPr>
          <w:rFonts w:ascii="宋体" w:hAnsi="宋体"/>
          <w:color w:val="000000"/>
        </w:rPr>
      </w:pPr>
      <w:r>
        <w:rPr>
          <w:rFonts w:hint="eastAsia" w:ascii="宋体" w:hAnsi="宋体"/>
          <w:color w:val="000000"/>
        </w:rPr>
        <w:t>应急管理体制机制尚需完善，应急管理部门和部分行业主管部门存在职能交叉，“防”和“救”的责任链条衔接不紧密。应急管理部门与消防救援机构的关系尚未理顺。大部分乡镇应急管理机构未设置，未挂牌。新业态、新领域以及部分行业领域末端存在职责不清、监管盲区、责任缺失等情况。应急管理部门和部分行业主管部门还存在职能交叉，部分涉灾部门的主体责任不够清晰明确。</w:t>
      </w:r>
    </w:p>
    <w:p>
      <w:pPr>
        <w:pStyle w:val="7"/>
        <w:tabs>
          <w:tab w:val="left" w:pos="720"/>
        </w:tabs>
        <w:adjustRightInd w:val="0"/>
        <w:snapToGrid w:val="0"/>
        <w:rPr>
          <w:rFonts w:ascii="宋体" w:hAnsi="宋体"/>
          <w:color w:val="000000"/>
        </w:rPr>
      </w:pPr>
      <w:r>
        <w:rPr>
          <w:rFonts w:ascii="宋体" w:hAnsi="宋体"/>
          <w:color w:val="000000"/>
        </w:rPr>
        <w:t>6</w:t>
      </w:r>
      <w:r>
        <w:rPr>
          <w:rFonts w:hint="eastAsia" w:ascii="宋体" w:hAnsi="宋体"/>
          <w:color w:val="000000"/>
        </w:rPr>
        <w:t>.城市园林绿化质量</w:t>
      </w:r>
      <w:r>
        <w:rPr>
          <w:rFonts w:ascii="宋体" w:hAnsi="宋体"/>
          <w:color w:val="000000"/>
        </w:rPr>
        <w:t>有待优化</w:t>
      </w:r>
    </w:p>
    <w:p>
      <w:pPr>
        <w:adjustRightInd w:val="0"/>
        <w:snapToGrid w:val="0"/>
        <w:ind w:firstLine="560"/>
        <w:rPr>
          <w:rFonts w:ascii="宋体" w:hAnsi="宋体"/>
          <w:color w:val="000000"/>
        </w:rPr>
      </w:pPr>
      <w:r>
        <w:rPr>
          <w:rFonts w:hint="eastAsia" w:ascii="宋体" w:hAnsi="宋体"/>
          <w:color w:val="000000"/>
        </w:rPr>
        <w:t>截至</w:t>
      </w:r>
      <w:r>
        <w:rPr>
          <w:rFonts w:ascii="宋体" w:hAnsi="宋体"/>
          <w:color w:val="000000"/>
        </w:rPr>
        <w:t>2020年底，全市建成区绿化覆盖率仅为39.07%，低于全省平均水平，且在全省21个地级市（州）仅排第15位。绿地系统构架不够完善，社区层级公园建设不足，滨水绿地缺乏与城市功能的互动，部分河段驳岸与水面高差较大，亲水性不够、功能单一，景观品质不高，堤防普遍为混凝土硬质岸线，景观及生态较差，达不到水美岸绿效果。城区精品园林景观不多，受资金及时间影响，多数新建市政公园只完成了一期建设，在景观品质提升、游线组织完善、附属设施建设上与国内</w:t>
      </w:r>
      <w:r>
        <w:rPr>
          <w:rFonts w:hint="eastAsia" w:ascii="宋体" w:hAnsi="宋体"/>
          <w:color w:val="000000"/>
        </w:rPr>
        <w:t>、省内发达城市的市政公园相比均存在不同程序的差距。园林绿化建设法律法规不够健全，在“园林绿化规划设计编制与审批”“园林绿化实施”等领域缺乏可操作性的标准和程序，导致园林绿化工作管理无序、施工参差不齐。</w:t>
      </w:r>
    </w:p>
    <w:p>
      <w:pPr>
        <w:pStyle w:val="7"/>
        <w:tabs>
          <w:tab w:val="left" w:pos="720"/>
        </w:tabs>
        <w:adjustRightInd w:val="0"/>
        <w:snapToGrid w:val="0"/>
        <w:rPr>
          <w:rFonts w:ascii="宋体" w:hAnsi="宋体"/>
          <w:color w:val="000000"/>
        </w:rPr>
      </w:pPr>
      <w:r>
        <w:rPr>
          <w:rFonts w:ascii="宋体" w:hAnsi="宋体"/>
          <w:color w:val="000000"/>
        </w:rPr>
        <w:t>7</w:t>
      </w:r>
      <w:r>
        <w:rPr>
          <w:rFonts w:hint="eastAsia" w:ascii="宋体" w:hAnsi="宋体"/>
          <w:color w:val="000000"/>
        </w:rPr>
        <w:t>.</w:t>
      </w:r>
      <w:r>
        <w:rPr>
          <w:rFonts w:ascii="宋体" w:hAnsi="宋体"/>
          <w:color w:val="000000"/>
        </w:rPr>
        <w:t>村镇建设水平亟待提升</w:t>
      </w:r>
    </w:p>
    <w:p>
      <w:pPr>
        <w:adjustRightInd w:val="0"/>
        <w:snapToGrid w:val="0"/>
        <w:ind w:firstLine="560"/>
        <w:rPr>
          <w:rFonts w:ascii="宋体" w:hAnsi="宋体"/>
          <w:color w:val="000000"/>
        </w:rPr>
      </w:pPr>
      <w:r>
        <w:rPr>
          <w:rFonts w:hint="eastAsia" w:ascii="宋体" w:hAnsi="宋体"/>
          <w:color w:val="000000"/>
        </w:rPr>
        <w:t>“重城轻乡”、“先城后镇”等问题仍不同程度存在，村镇污水垃圾处理等设施欠账多、运营维护跟不上，村镇建设管理机构不健全。乡村风貌特色不够鲜明，农房设计和建造品质还需提升。</w:t>
      </w:r>
    </w:p>
    <w:p>
      <w:pPr>
        <w:pStyle w:val="7"/>
        <w:tabs>
          <w:tab w:val="left" w:pos="720"/>
        </w:tabs>
        <w:adjustRightInd w:val="0"/>
        <w:snapToGrid w:val="0"/>
        <w:rPr>
          <w:rFonts w:ascii="宋体" w:hAnsi="宋体"/>
          <w:color w:val="000000"/>
        </w:rPr>
      </w:pPr>
      <w:r>
        <w:rPr>
          <w:rFonts w:ascii="宋体" w:hAnsi="宋体"/>
          <w:color w:val="000000"/>
        </w:rPr>
        <w:t>8</w:t>
      </w:r>
      <w:r>
        <w:rPr>
          <w:rFonts w:hint="eastAsia" w:ascii="宋体" w:hAnsi="宋体"/>
          <w:color w:val="000000"/>
        </w:rPr>
        <w:t>.</w:t>
      </w:r>
      <w:r>
        <w:rPr>
          <w:rFonts w:ascii="宋体" w:hAnsi="宋体"/>
          <w:color w:val="000000"/>
        </w:rPr>
        <w:t>城乡历史文化保护体系急需建立</w:t>
      </w:r>
    </w:p>
    <w:p>
      <w:pPr>
        <w:adjustRightInd w:val="0"/>
        <w:snapToGrid w:val="0"/>
        <w:ind w:firstLine="560"/>
        <w:rPr>
          <w:rFonts w:ascii="宋体" w:hAnsi="宋体"/>
          <w:color w:val="000000"/>
        </w:rPr>
      </w:pPr>
      <w:r>
        <w:rPr>
          <w:rFonts w:hint="eastAsia" w:ascii="宋体" w:hAnsi="宋体"/>
          <w:color w:val="000000"/>
        </w:rPr>
        <w:t>历史文化遗产保护重点集中在保护文保单位、重要历史文化街区和历史建筑，缺乏从整体到局部，从本体到周边环境的整体性保护，历史文化遗产与相关产业的融合发展不足，活化利用的模式欠缺。</w:t>
      </w:r>
    </w:p>
    <w:p>
      <w:pPr>
        <w:pStyle w:val="7"/>
        <w:tabs>
          <w:tab w:val="left" w:pos="720"/>
        </w:tabs>
        <w:adjustRightInd w:val="0"/>
        <w:snapToGrid w:val="0"/>
        <w:rPr>
          <w:rFonts w:ascii="宋体" w:hAnsi="宋体"/>
          <w:color w:val="000000"/>
        </w:rPr>
      </w:pPr>
      <w:r>
        <w:rPr>
          <w:rFonts w:ascii="宋体" w:hAnsi="宋体"/>
          <w:color w:val="000000"/>
        </w:rPr>
        <w:t>9</w:t>
      </w:r>
      <w:r>
        <w:rPr>
          <w:rFonts w:hint="eastAsia" w:ascii="宋体" w:hAnsi="宋体"/>
          <w:color w:val="000000"/>
        </w:rPr>
        <w:t>.城市治理水平有待提升</w:t>
      </w:r>
    </w:p>
    <w:p>
      <w:pPr>
        <w:adjustRightInd w:val="0"/>
        <w:snapToGrid w:val="0"/>
        <w:ind w:firstLine="560"/>
        <w:rPr>
          <w:rFonts w:hint="eastAsia" w:ascii="宋体" w:hAnsi="宋体"/>
          <w:color w:val="000000"/>
        </w:rPr>
      </w:pPr>
      <w:r>
        <w:rPr>
          <w:rFonts w:hint="eastAsia" w:ascii="宋体" w:hAnsi="宋体"/>
          <w:color w:val="000000"/>
        </w:rPr>
        <w:t>城市风貌缺乏设计，沿街建筑界面风格色调缺乏特色，蓝屋顶、临街安装防护栏、店铺招牌凌乱、外挂设施凌乱无序，城市家具设置不合理等现象较为普遍；公共空间治理不够精细，市场摊位缺乏管理，流动商业无序侵占街道空间，影响市容市貌；夜间景观照明未统一规划、专项设计，城市光亮性不足，城市形象缺乏特色。</w:t>
      </w:r>
    </w:p>
    <w:p>
      <w:pPr>
        <w:pStyle w:val="5"/>
        <w:numPr>
          <w:ilvl w:val="0"/>
          <w:numId w:val="1"/>
        </w:numPr>
        <w:spacing w:before="190"/>
        <w:rPr>
          <w:rFonts w:ascii="宋体" w:hAnsi="宋体"/>
          <w:color w:val="000000"/>
        </w:rPr>
      </w:pPr>
      <w:bookmarkStart w:id="20" w:name="_Toc114337831"/>
      <w:bookmarkEnd w:id="20"/>
      <w:bookmarkStart w:id="21" w:name="_Toc114338473"/>
      <w:bookmarkEnd w:id="21"/>
      <w:bookmarkStart w:id="22" w:name="_Toc114259478"/>
      <w:bookmarkEnd w:id="22"/>
      <w:bookmarkStart w:id="23" w:name="_Toc114338417"/>
      <w:bookmarkEnd w:id="23"/>
      <w:bookmarkStart w:id="24" w:name="_Toc114338801"/>
      <w:bookmarkEnd w:id="24"/>
      <w:bookmarkStart w:id="25" w:name="_Toc114338581"/>
      <w:bookmarkEnd w:id="25"/>
      <w:bookmarkStart w:id="26" w:name="_Toc114259480"/>
      <w:bookmarkEnd w:id="26"/>
      <w:bookmarkStart w:id="27" w:name="_Toc114338691"/>
      <w:bookmarkEnd w:id="27"/>
      <w:bookmarkStart w:id="28" w:name="_Toc114338269"/>
      <w:bookmarkEnd w:id="28"/>
      <w:bookmarkStart w:id="29" w:name="_Toc114338584"/>
      <w:bookmarkEnd w:id="29"/>
      <w:bookmarkStart w:id="30" w:name="_Toc114338134"/>
      <w:bookmarkEnd w:id="30"/>
      <w:bookmarkStart w:id="31" w:name="_Toc114338271"/>
      <w:bookmarkEnd w:id="31"/>
      <w:bookmarkStart w:id="32" w:name="_Toc114338474"/>
      <w:bookmarkEnd w:id="32"/>
      <w:bookmarkStart w:id="33" w:name="_Toc114337829"/>
      <w:bookmarkEnd w:id="33"/>
      <w:bookmarkStart w:id="34" w:name="_Toc114259934"/>
      <w:bookmarkEnd w:id="34"/>
      <w:bookmarkStart w:id="35" w:name="_Toc114338420"/>
      <w:bookmarkEnd w:id="35"/>
      <w:bookmarkStart w:id="36" w:name="_Toc114338019"/>
      <w:bookmarkEnd w:id="36"/>
      <w:bookmarkStart w:id="37" w:name="_Toc114259937"/>
      <w:bookmarkEnd w:id="37"/>
      <w:bookmarkStart w:id="38" w:name="_Toc114338471"/>
      <w:bookmarkEnd w:id="38"/>
      <w:bookmarkStart w:id="39" w:name="_Toc114259481"/>
      <w:bookmarkEnd w:id="39"/>
      <w:bookmarkStart w:id="40" w:name="_Toc114338022"/>
      <w:bookmarkEnd w:id="40"/>
      <w:bookmarkStart w:id="41" w:name="_Toc114259565"/>
      <w:bookmarkEnd w:id="41"/>
      <w:bookmarkStart w:id="42" w:name="_Toc114338135"/>
      <w:bookmarkEnd w:id="42"/>
      <w:bookmarkStart w:id="43" w:name="_Toc114338693"/>
      <w:bookmarkEnd w:id="43"/>
      <w:bookmarkStart w:id="44" w:name="_Toc114259562"/>
      <w:bookmarkEnd w:id="44"/>
      <w:bookmarkStart w:id="45" w:name="_Toc114259859"/>
      <w:bookmarkEnd w:id="45"/>
      <w:bookmarkStart w:id="46" w:name="_Toc114338419"/>
      <w:bookmarkEnd w:id="46"/>
      <w:bookmarkStart w:id="47" w:name="_Toc114259858"/>
      <w:bookmarkEnd w:id="47"/>
      <w:bookmarkStart w:id="48" w:name="_Toc114259564"/>
      <w:bookmarkEnd w:id="48"/>
      <w:bookmarkStart w:id="49" w:name="_Toc114260014"/>
      <w:bookmarkEnd w:id="49"/>
      <w:bookmarkStart w:id="50" w:name="_Toc114259936"/>
      <w:bookmarkEnd w:id="50"/>
      <w:bookmarkStart w:id="51" w:name="_Toc114260015"/>
      <w:bookmarkEnd w:id="51"/>
      <w:bookmarkStart w:id="52" w:name="_Toc114338132"/>
      <w:bookmarkEnd w:id="52"/>
      <w:bookmarkStart w:id="53" w:name="_Toc114337832"/>
      <w:bookmarkEnd w:id="53"/>
      <w:bookmarkStart w:id="54" w:name="_Toc114259856"/>
      <w:bookmarkEnd w:id="54"/>
      <w:bookmarkStart w:id="55" w:name="_Toc114338803"/>
      <w:bookmarkEnd w:id="55"/>
      <w:bookmarkStart w:id="56" w:name="_Toc114338804"/>
      <w:bookmarkEnd w:id="56"/>
      <w:bookmarkStart w:id="57" w:name="_Toc114338021"/>
      <w:bookmarkEnd w:id="57"/>
      <w:bookmarkStart w:id="58" w:name="_Toc114260012"/>
      <w:bookmarkEnd w:id="58"/>
      <w:bookmarkStart w:id="59" w:name="_Toc114338272"/>
      <w:bookmarkEnd w:id="59"/>
      <w:bookmarkStart w:id="60" w:name="_Toc114338694"/>
      <w:bookmarkEnd w:id="60"/>
      <w:bookmarkStart w:id="61" w:name="_Toc114338583"/>
      <w:bookmarkEnd w:id="61"/>
      <w:bookmarkStart w:id="62" w:name="_Toc118566661"/>
      <w:bookmarkStart w:id="63" w:name="_Toc118566261"/>
      <w:bookmarkStart w:id="64" w:name="_Toc118566527"/>
      <w:bookmarkStart w:id="65" w:name="_Toc119916731"/>
      <w:bookmarkStart w:id="66" w:name="_Toc118566394"/>
      <w:r>
        <w:rPr>
          <w:rFonts w:hint="eastAsia" w:ascii="宋体" w:hAnsi="宋体"/>
          <w:color w:val="000000"/>
        </w:rPr>
        <w:t>面临的形势</w:t>
      </w:r>
      <w:bookmarkEnd w:id="62"/>
      <w:bookmarkEnd w:id="63"/>
      <w:bookmarkEnd w:id="64"/>
      <w:bookmarkEnd w:id="65"/>
      <w:bookmarkEnd w:id="66"/>
    </w:p>
    <w:p>
      <w:pPr>
        <w:adjustRightInd w:val="0"/>
        <w:snapToGrid w:val="0"/>
        <w:ind w:firstLine="560"/>
        <w:rPr>
          <w:color w:val="000000"/>
        </w:rPr>
      </w:pPr>
      <w:r>
        <w:rPr>
          <w:rFonts w:hint="eastAsia"/>
          <w:color w:val="000000"/>
        </w:rPr>
        <w:t>城乡人居环境的改善是贯彻落实新发展理念的重要载体，是解决新时代我国社会主要矛盾的需要，是满足人民群众日益增长的美好生活向往需求的需要，是建设高品质生活宜居地的需要。立足新发展阶段，要不断提高贯彻新发展理念，推进区域协调发展，促进人与自然和谐共生。</w:t>
      </w:r>
    </w:p>
    <w:p>
      <w:pPr>
        <w:pStyle w:val="6"/>
        <w:ind w:firstLine="141"/>
      </w:pPr>
      <w:r>
        <w:rPr>
          <w:rFonts w:hint="eastAsia"/>
        </w:rPr>
        <w:t>（一）国家、省委高度重视改善城乡人居环境工作</w:t>
      </w:r>
    </w:p>
    <w:p>
      <w:pPr>
        <w:adjustRightInd w:val="0"/>
        <w:snapToGrid w:val="0"/>
        <w:ind w:firstLine="560"/>
        <w:rPr>
          <w:rFonts w:ascii="宋体" w:hAnsi="宋体"/>
          <w:color w:val="000000"/>
        </w:rPr>
      </w:pPr>
      <w:r>
        <w:rPr>
          <w:rFonts w:hint="eastAsia" w:ascii="宋体" w:hAnsi="宋体"/>
          <w:color w:val="000000"/>
        </w:rPr>
        <w:t>党中央、国务院高度重视人居环境建设工作。习近平总书记在中央城市工作会议</w:t>
      </w:r>
      <w:r>
        <w:rPr>
          <w:rFonts w:ascii="宋体" w:hAnsi="宋体"/>
          <w:color w:val="000000"/>
        </w:rPr>
        <w:t>上指出，“城市工作要把创造优良人居环境作为中心</w:t>
      </w:r>
      <w:r>
        <w:rPr>
          <w:rFonts w:hint="eastAsia" w:ascii="宋体" w:hAnsi="宋体"/>
          <w:color w:val="000000"/>
        </w:rPr>
        <w:t>目标，努力把城市建设成为人与人、人与自然和谐共处的美丽家园”。习近平总书记在中央财经委员会第七次会议上强调，“要更好推进以人为核心的城镇化，使城市更健康、更安全、更宜居，成为人民群众高质量生活的空间”。</w:t>
      </w:r>
      <w:bookmarkStart w:id="67" w:name="OLE_LINK27"/>
      <w:bookmarkStart w:id="68" w:name="OLE_LINK28"/>
      <w:r>
        <w:rPr>
          <w:rFonts w:hint="eastAsia" w:ascii="宋体" w:hAnsi="宋体"/>
          <w:color w:val="000000"/>
        </w:rPr>
        <w:t>党的十九届五中全会审议通过的《中共中央关于制定国民经济和社会发展二</w:t>
      </w:r>
      <w:r>
        <w:rPr>
          <w:rFonts w:ascii="宋体" w:hAnsi="宋体"/>
          <w:color w:val="000000"/>
        </w:rPr>
        <w:t>O三五年远景目标的建议》将城乡人居</w:t>
      </w:r>
      <w:r>
        <w:rPr>
          <w:rFonts w:hint="eastAsia" w:ascii="宋体" w:hAnsi="宋体"/>
          <w:color w:val="000000"/>
        </w:rPr>
        <w:t>环境明显改善确定为“十四五”时期经济社会发展主要目标之一。</w:t>
      </w:r>
      <w:bookmarkEnd w:id="67"/>
      <w:bookmarkEnd w:id="68"/>
      <w:r>
        <w:rPr>
          <w:rFonts w:hint="eastAsia" w:ascii="宋体" w:hAnsi="宋体"/>
          <w:color w:val="000000"/>
        </w:rPr>
        <w:t>为贯彻落实习近平总书记重要指示批示和十九届五中全会精神，</w:t>
      </w:r>
      <w:r>
        <w:rPr>
          <w:rFonts w:ascii="宋体" w:hAnsi="宋体"/>
          <w:color w:val="000000"/>
        </w:rPr>
        <w:t>城乡人</w:t>
      </w:r>
      <w:r>
        <w:rPr>
          <w:rFonts w:hint="eastAsia" w:ascii="宋体" w:hAnsi="宋体"/>
          <w:color w:val="000000"/>
        </w:rPr>
        <w:t>居环境建设要落实新发展理念和以人民为中心的发展思想，实施城市更新行动和乡村建设行动，</w:t>
      </w:r>
      <w:bookmarkStart w:id="69" w:name="OLE_LINK24"/>
      <w:r>
        <w:rPr>
          <w:rFonts w:hint="eastAsia" w:ascii="宋体" w:hAnsi="宋体"/>
          <w:color w:val="000000"/>
        </w:rPr>
        <w:t>建设宜居城市、绿色城市、韧性城市、智慧城市、人文城市和美丽乡村，</w:t>
      </w:r>
      <w:bookmarkEnd w:id="69"/>
      <w:r>
        <w:rPr>
          <w:rFonts w:hint="eastAsia" w:ascii="宋体" w:hAnsi="宋体"/>
          <w:color w:val="000000"/>
        </w:rPr>
        <w:t>全面提升城乡发展质量、不断满足人民群众日益增长的美好生活需要。</w:t>
      </w:r>
    </w:p>
    <w:p>
      <w:pPr>
        <w:adjustRightInd w:val="0"/>
        <w:snapToGrid w:val="0"/>
        <w:ind w:firstLine="560"/>
        <w:rPr>
          <w:rFonts w:ascii="宋体" w:hAnsi="宋体"/>
          <w:color w:val="000000"/>
        </w:rPr>
      </w:pPr>
      <w:r>
        <w:rPr>
          <w:rFonts w:hint="eastAsia" w:ascii="宋体" w:hAnsi="宋体"/>
          <w:color w:val="000000"/>
        </w:rPr>
        <w:t>随着农村人居环境整治三年行动圆满结束，</w:t>
      </w:r>
      <w:bookmarkStart w:id="70" w:name="OLE_LINK44"/>
      <w:r>
        <w:rPr>
          <w:rFonts w:hint="eastAsia" w:ascii="宋体" w:hAnsi="宋体"/>
          <w:color w:val="000000"/>
        </w:rPr>
        <w:t>四川省委农村工作领导小组</w:t>
      </w:r>
      <w:r>
        <w:rPr>
          <w:rFonts w:ascii="宋体" w:hAnsi="宋体"/>
          <w:color w:val="000000"/>
        </w:rPr>
        <w:t>2021年第一次全体会议再次指出，大力实施“美丽四川•宜居乡村”建设行动，深入实施农村人居环境整治提升五年行动，</w:t>
      </w:r>
      <w:bookmarkEnd w:id="70"/>
      <w:r>
        <w:rPr>
          <w:rFonts w:ascii="宋体" w:hAnsi="宋体"/>
          <w:color w:val="000000"/>
        </w:rPr>
        <w:t>加强农村生态文明建设，让农村更加宜居、更加美丽。</w:t>
      </w:r>
    </w:p>
    <w:p>
      <w:pPr>
        <w:adjustRightInd w:val="0"/>
        <w:snapToGrid w:val="0"/>
        <w:ind w:firstLine="560"/>
        <w:rPr>
          <w:rFonts w:ascii="宋体" w:hAnsi="宋体"/>
          <w:color w:val="000000"/>
        </w:rPr>
      </w:pPr>
      <w:r>
        <w:rPr>
          <w:rFonts w:hint="eastAsia" w:ascii="宋体" w:hAnsi="宋体"/>
          <w:color w:val="000000"/>
        </w:rPr>
        <w:t>四川省第十二次党代会指出全面推进乡村振兴，</w:t>
      </w:r>
      <w:r>
        <w:rPr>
          <w:rFonts w:ascii="宋体" w:hAnsi="宋体"/>
          <w:color w:val="000000"/>
        </w:rPr>
        <w:t>加快农业农村现代化</w:t>
      </w:r>
      <w:r>
        <w:rPr>
          <w:rFonts w:hint="eastAsia" w:ascii="宋体" w:hAnsi="宋体"/>
          <w:color w:val="000000"/>
        </w:rPr>
        <w:t>，统筹推进农村人居环境整治提升五年行动。要稳步推进农村厕所革命，因地制宜选择改厕技术模式，引导新改户用厕所基本入院入室。统筹推进农村生活垃圾和污水治理，健全垃圾收运处置体系，基本消除较大面积的黑臭水体。加强入户道路建设，构建通村入户的基础网络。深入开展村庄清洁行动，引导农民开展庭院和村庄绿化美化，提升村容村貌。</w:t>
      </w:r>
    </w:p>
    <w:p>
      <w:pPr>
        <w:pStyle w:val="6"/>
        <w:ind w:firstLine="141"/>
        <w:rPr>
          <w:rFonts w:hint="eastAsia"/>
        </w:rPr>
      </w:pPr>
      <w:r>
        <w:rPr>
          <w:rFonts w:hint="eastAsia"/>
        </w:rPr>
        <w:t>（二）人居环境建设面临“碳达峰碳中和”的更高要求</w:t>
      </w:r>
    </w:p>
    <w:p>
      <w:pPr>
        <w:adjustRightInd w:val="0"/>
        <w:snapToGrid w:val="0"/>
        <w:ind w:firstLine="560"/>
        <w:rPr>
          <w:rFonts w:ascii="宋体" w:hAnsi="宋体"/>
          <w:color w:val="000000"/>
        </w:rPr>
      </w:pPr>
      <w:r>
        <w:rPr>
          <w:rFonts w:hint="eastAsia" w:ascii="宋体" w:hAnsi="宋体"/>
          <w:color w:val="000000"/>
        </w:rPr>
        <w:t>我国将力争</w:t>
      </w:r>
      <w:r>
        <w:rPr>
          <w:rFonts w:ascii="宋体" w:hAnsi="宋体"/>
          <w:color w:val="000000"/>
        </w:rPr>
        <w:t>2030年前实现碳达峰、2060年前实现碳中</w:t>
      </w:r>
      <w:r>
        <w:rPr>
          <w:rFonts w:hint="eastAsia" w:ascii="宋体" w:hAnsi="宋体"/>
          <w:color w:val="000000"/>
        </w:rPr>
        <w:t>和。“十四五”时期是“碳达峰碳中和”的窗口期、关键期，国家“十四五”规划提出：“深入推进工业、建筑、交通等领域低碳转型，落实</w:t>
      </w:r>
      <w:r>
        <w:rPr>
          <w:rFonts w:ascii="宋体" w:hAnsi="宋体"/>
          <w:color w:val="000000"/>
        </w:rPr>
        <w:t>2030年应对气候变化国家自主贡献目</w:t>
      </w:r>
      <w:r>
        <w:rPr>
          <w:rFonts w:hint="eastAsia" w:ascii="宋体" w:hAnsi="宋体"/>
          <w:color w:val="000000"/>
        </w:rPr>
        <w:t>标，制定碳达峰行动方案”。实现碳达峰碳中和是一场广泛而深刻的经济社会系统性变革，统筹推进全省碳达峰碳中和，是实现全省城乡人居环境高质量发展目标的重要前提，也是建设城乡生态宜居人居环境的重要抓手，既是人居环境绿色低碳发展、建设方式转型及提高环境治理现代化水平的难得机遇，又是我省城乡人居环境建设面临的重大挑战。</w:t>
      </w:r>
    </w:p>
    <w:p>
      <w:pPr>
        <w:pStyle w:val="6"/>
        <w:ind w:firstLine="141"/>
        <w:rPr>
          <w:rFonts w:hint="eastAsia"/>
        </w:rPr>
      </w:pPr>
      <w:r>
        <w:rPr>
          <w:rFonts w:hint="eastAsia"/>
        </w:rPr>
        <w:t>（三）人居环境建设是筑牢长江上游生态屏障的具体举措</w:t>
      </w:r>
    </w:p>
    <w:p>
      <w:pPr>
        <w:adjustRightInd w:val="0"/>
        <w:snapToGrid w:val="0"/>
        <w:ind w:firstLine="560"/>
        <w:rPr>
          <w:rFonts w:ascii="宋体" w:hAnsi="宋体"/>
          <w:color w:val="000000"/>
        </w:rPr>
      </w:pPr>
      <w:r>
        <w:rPr>
          <w:rFonts w:hint="eastAsia" w:ascii="宋体" w:hAnsi="宋体"/>
          <w:color w:val="000000"/>
        </w:rPr>
        <w:t>我市是长江上游重要的水源涵养区和生态建设核心区，在长江流域生态安全中具有重要战略地位。要求我们坚持问题导向，深入打好污染防治攻坚战，坚持城乡统筹，加快补齐生态文明建设短板，加强生态修复和环境保护。严守生态保护红线，加快推动绿色低碳发展，切实筑牢长江上游生态屏障。城乡人居环境建设肩负提升区域自然生态本底质量的重任，既需要在“共抓大保护，不搞大开发”的长江生态环境保护和修复发挥更大作用，更需要在城乡人居环境建设方面补齐生态文明建设短板。</w:t>
      </w:r>
    </w:p>
    <w:p>
      <w:pPr>
        <w:pStyle w:val="6"/>
        <w:ind w:firstLine="141"/>
        <w:rPr>
          <w:rFonts w:hint="eastAsia"/>
        </w:rPr>
      </w:pPr>
      <w:r>
        <w:rPr>
          <w:rFonts w:hint="eastAsia"/>
        </w:rPr>
        <w:t>（四）多重重大战略落地，广元站上历史新起点</w:t>
      </w:r>
    </w:p>
    <w:p>
      <w:pPr>
        <w:adjustRightInd w:val="0"/>
        <w:snapToGrid w:val="0"/>
        <w:ind w:firstLine="560"/>
        <w:rPr>
          <w:rFonts w:ascii="宋体" w:hAnsi="宋体"/>
          <w:color w:val="000000"/>
        </w:rPr>
      </w:pPr>
      <w:r>
        <w:rPr>
          <w:rFonts w:hint="eastAsia" w:ascii="宋体" w:hAnsi="宋体"/>
          <w:color w:val="000000"/>
        </w:rPr>
        <w:t>广元地处川陕甘结合部，是重庆、成都、西安、兰州四大城市几何中心，生态、区位、资源比较优势突出，“一带一路”建设、长江经济带发展、新时代西部大开发、乡村振兴、成渝地区双城经济圈建设、积极应对人口老龄化、川陕革命老区振兴发展、东西部协作等重大国家战略叠加，广元打造高品质生活宜居地，中国生态康养旅游名市、四川知名教育高地，建设川陕甘结合部服务业强市、区域医疗中心、区域消费中心城市等战略定位，都为广元市</w:t>
      </w:r>
      <w:r>
        <w:rPr>
          <w:rFonts w:ascii="宋体" w:hAnsi="宋体"/>
          <w:color w:val="000000"/>
        </w:rPr>
        <w:t>人居环境建设</w:t>
      </w:r>
      <w:r>
        <w:rPr>
          <w:rFonts w:hint="eastAsia" w:ascii="宋体" w:hAnsi="宋体"/>
          <w:color w:val="000000"/>
        </w:rPr>
        <w:t>提供了良好政策机遇。</w:t>
      </w:r>
    </w:p>
    <w:p>
      <w:pPr>
        <w:pStyle w:val="6"/>
        <w:ind w:firstLine="141"/>
        <w:rPr>
          <w:rFonts w:hint="eastAsia"/>
        </w:rPr>
      </w:pPr>
      <w:r>
        <w:rPr>
          <w:rFonts w:hint="eastAsia"/>
        </w:rPr>
        <w:t>（五）人居环境建设是系统推进绿色生活方式转变的强大动力</w:t>
      </w:r>
    </w:p>
    <w:p>
      <w:pPr>
        <w:adjustRightInd w:val="0"/>
        <w:snapToGrid w:val="0"/>
        <w:ind w:firstLine="560"/>
        <w:rPr>
          <w:rFonts w:ascii="宋体" w:hAnsi="宋体"/>
          <w:color w:val="000000"/>
        </w:rPr>
      </w:pPr>
      <w:r>
        <w:rPr>
          <w:rFonts w:hint="eastAsia" w:ascii="宋体" w:hAnsi="宋体"/>
          <w:color w:val="000000"/>
        </w:rPr>
        <w:t>加快人居环境建设是系统推进绿色生活方式转变的强大动力。绿色生活方式是以亲近自然、注重环保、绿色消费、节约资源等为基本特征，是一种与自然和谐共存，在满足人类自身需求的同时尽最大可能保护自然环境的生活方式。国家明确要求：“到本世纪中叶，物质文明、政治文明、精神文明、社会文明、生态文明全面提升，绿色发展方式和生活方式全面形成”。四川省制定的《四川省绿色社区创建行动实施方案》要求：“至</w:t>
      </w:r>
      <w:r>
        <w:rPr>
          <w:rFonts w:ascii="宋体" w:hAnsi="宋体"/>
          <w:color w:val="000000"/>
        </w:rPr>
        <w:t>2022年，创</w:t>
      </w:r>
      <w:r>
        <w:rPr>
          <w:rFonts w:hint="eastAsia" w:ascii="宋体" w:hAnsi="宋体"/>
          <w:color w:val="000000"/>
        </w:rPr>
        <w:t>建</w:t>
      </w:r>
      <w:r>
        <w:rPr>
          <w:rFonts w:ascii="宋体" w:hAnsi="宋体"/>
          <w:color w:val="000000"/>
        </w:rPr>
        <w:t>600个省级示范绿色社区”。全面开展全省城乡人居环境建设，</w:t>
      </w:r>
      <w:r>
        <w:rPr>
          <w:rFonts w:hint="eastAsia" w:ascii="宋体" w:hAnsi="宋体"/>
          <w:color w:val="000000"/>
        </w:rPr>
        <w:t>目的是贯彻落实国家绿色生活、绿色社区建设相关要求，加大绿色社区、垃圾分类回收、减少碳排放、公共交通出行、慢行系统建设等方面的推动力度，助力绿色生活方式转变。</w:t>
      </w:r>
    </w:p>
    <w:p>
      <w:pPr>
        <w:pStyle w:val="5"/>
        <w:numPr>
          <w:ilvl w:val="0"/>
          <w:numId w:val="1"/>
        </w:numPr>
        <w:spacing w:before="190"/>
        <w:rPr>
          <w:rFonts w:ascii="宋体" w:hAnsi="宋体"/>
          <w:color w:val="000000"/>
        </w:rPr>
      </w:pPr>
      <w:bookmarkStart w:id="71" w:name="_Toc119916732"/>
      <w:bookmarkStart w:id="72" w:name="_Toc118566395"/>
      <w:bookmarkStart w:id="73" w:name="_Toc118566528"/>
      <w:bookmarkStart w:id="74" w:name="_Toc118566662"/>
      <w:bookmarkStart w:id="75" w:name="_Toc118566262"/>
      <w:r>
        <w:rPr>
          <w:rFonts w:hint="eastAsia" w:ascii="宋体" w:hAnsi="宋体"/>
          <w:color w:val="000000"/>
        </w:rPr>
        <w:t>指导思想与基本原则</w:t>
      </w:r>
      <w:bookmarkEnd w:id="71"/>
      <w:bookmarkEnd w:id="72"/>
      <w:bookmarkEnd w:id="73"/>
      <w:bookmarkEnd w:id="74"/>
      <w:bookmarkEnd w:id="75"/>
    </w:p>
    <w:p>
      <w:pPr>
        <w:pStyle w:val="6"/>
        <w:ind w:firstLine="141"/>
        <w:rPr>
          <w:rFonts w:ascii="宋体" w:hAnsi="宋体"/>
          <w:color w:val="000000"/>
        </w:rPr>
      </w:pPr>
      <w:bookmarkStart w:id="76" w:name="_Toc118566263"/>
      <w:bookmarkStart w:id="77" w:name="_Toc118566529"/>
      <w:bookmarkStart w:id="78" w:name="_Toc118566396"/>
      <w:bookmarkStart w:id="79" w:name="_Toc118566663"/>
      <w:r>
        <w:rPr>
          <w:rFonts w:hint="eastAsia" w:ascii="宋体" w:hAnsi="宋体"/>
          <w:color w:val="000000"/>
        </w:rPr>
        <w:t>（一）指导思想</w:t>
      </w:r>
      <w:bookmarkEnd w:id="76"/>
      <w:bookmarkEnd w:id="77"/>
      <w:bookmarkEnd w:id="78"/>
      <w:bookmarkEnd w:id="79"/>
    </w:p>
    <w:p>
      <w:pPr>
        <w:adjustRightInd w:val="0"/>
        <w:snapToGrid w:val="0"/>
        <w:ind w:firstLine="560"/>
        <w:rPr>
          <w:rFonts w:ascii="宋体" w:hAnsi="宋体"/>
          <w:color w:val="000000"/>
        </w:rPr>
      </w:pPr>
      <w:r>
        <w:rPr>
          <w:rFonts w:hint="eastAsia" w:ascii="宋体" w:hAnsi="宋体"/>
          <w:color w:val="000000"/>
        </w:rPr>
        <w:t>以习近平新时代中国特色社会主义思想为指导，深入贯彻习近平生态文明思想，落实党中央、国务院关于建设美丽中国、推进乡村振兴决策部署，立足新发展阶段，贯彻新发展理念，统筹自然生态、人工建设、社会人文三大环境，将创造优良城乡人居环境作为中心目标，按照民生优先、共同富裕、生态宜居、文明包容、安定和谐的基本思路，实施城乡人居环境建设行动，</w:t>
      </w:r>
      <w:r>
        <w:rPr>
          <w:rFonts w:ascii="宋体" w:hAnsi="宋体"/>
          <w:color w:val="000000"/>
        </w:rPr>
        <w:t>提高城乡综合治理能力</w:t>
      </w:r>
      <w:r>
        <w:rPr>
          <w:rFonts w:hint="eastAsia" w:ascii="宋体" w:hAnsi="宋体"/>
          <w:color w:val="000000"/>
        </w:rPr>
        <w:t>，</w:t>
      </w:r>
      <w:r>
        <w:rPr>
          <w:rFonts w:ascii="宋体" w:hAnsi="宋体"/>
          <w:color w:val="000000"/>
        </w:rPr>
        <w:t>不断</w:t>
      </w:r>
      <w:r>
        <w:rPr>
          <w:rFonts w:hint="eastAsia" w:ascii="宋体" w:hAnsi="宋体"/>
          <w:color w:val="000000"/>
        </w:rPr>
        <w:t>增强人民群众幸福感、获得感、安全感，</w:t>
      </w:r>
      <w:r>
        <w:rPr>
          <w:rFonts w:ascii="宋体" w:hAnsi="宋体"/>
          <w:color w:val="000000"/>
        </w:rPr>
        <w:t>持续满足人民日益增</w:t>
      </w:r>
      <w:r>
        <w:rPr>
          <w:rFonts w:hint="eastAsia" w:ascii="宋体" w:hAnsi="宋体"/>
          <w:color w:val="000000"/>
        </w:rPr>
        <w:t>长的美好生活需要。</w:t>
      </w:r>
    </w:p>
    <w:p>
      <w:pPr>
        <w:pStyle w:val="6"/>
        <w:ind w:firstLine="141"/>
        <w:rPr>
          <w:rFonts w:ascii="宋体" w:hAnsi="宋体"/>
          <w:color w:val="000000"/>
        </w:rPr>
      </w:pPr>
      <w:bookmarkStart w:id="80" w:name="_Toc118566264"/>
      <w:bookmarkStart w:id="81" w:name="_Toc118566530"/>
      <w:bookmarkStart w:id="82" w:name="_Toc118566664"/>
      <w:bookmarkStart w:id="83" w:name="_Toc118566397"/>
      <w:r>
        <w:rPr>
          <w:rFonts w:hint="eastAsia" w:ascii="宋体" w:hAnsi="宋体"/>
          <w:color w:val="000000"/>
        </w:rPr>
        <w:t>（二）基本原则</w:t>
      </w:r>
      <w:bookmarkEnd w:id="80"/>
      <w:bookmarkEnd w:id="81"/>
      <w:bookmarkEnd w:id="82"/>
      <w:bookmarkEnd w:id="83"/>
    </w:p>
    <w:p>
      <w:pPr>
        <w:adjustRightInd w:val="0"/>
        <w:snapToGrid w:val="0"/>
        <w:ind w:firstLine="562"/>
        <w:rPr>
          <w:rFonts w:ascii="宋体" w:hAnsi="宋体"/>
          <w:color w:val="000000"/>
        </w:rPr>
      </w:pPr>
      <w:r>
        <w:rPr>
          <w:rFonts w:hint="eastAsia" w:ascii="宋体" w:hAnsi="宋体"/>
          <w:b/>
          <w:color w:val="000000"/>
        </w:rPr>
        <w:t>坚持以人民为</w:t>
      </w:r>
      <w:r>
        <w:rPr>
          <w:rFonts w:ascii="宋体" w:hAnsi="宋体"/>
          <w:b/>
          <w:color w:val="000000"/>
        </w:rPr>
        <w:t>中心。</w:t>
      </w:r>
      <w:r>
        <w:rPr>
          <w:rFonts w:ascii="宋体" w:hAnsi="宋体"/>
          <w:color w:val="000000"/>
        </w:rPr>
        <w:t>坚持人民城市人民建、人民城市为</w:t>
      </w:r>
      <w:r>
        <w:rPr>
          <w:rFonts w:hint="eastAsia" w:ascii="宋体" w:hAnsi="宋体"/>
          <w:color w:val="000000"/>
        </w:rPr>
        <w:t>人民，着力解决城乡人居环境建设中的不平衡、不充分问题，始终做到发展为了人民、发展依靠人民、发展成果由人民共享，不断实现城乡居民对美好生活的向往。</w:t>
      </w:r>
    </w:p>
    <w:p>
      <w:pPr>
        <w:adjustRightInd w:val="0"/>
        <w:snapToGrid w:val="0"/>
        <w:ind w:firstLine="562"/>
        <w:rPr>
          <w:rFonts w:ascii="宋体" w:hAnsi="宋体"/>
          <w:color w:val="000000"/>
        </w:rPr>
      </w:pPr>
      <w:r>
        <w:rPr>
          <w:rFonts w:hint="eastAsia" w:ascii="宋体" w:hAnsi="宋体"/>
          <w:b/>
          <w:color w:val="000000"/>
        </w:rPr>
        <w:t>坚持系统协调。</w:t>
      </w:r>
      <w:r>
        <w:rPr>
          <w:rFonts w:hint="eastAsia" w:ascii="宋体" w:hAnsi="宋体"/>
          <w:color w:val="000000"/>
        </w:rPr>
        <w:t>坚持自然生态、人工建设、社会人文三大系统相互协调发展，将自然、城市和乡村作为有机生命共同体，强化问题导向、目标导向和结果导向，统筹城乡人居环境规划、建设、管理，不断提高人居环境建设的整体性、系统性、包容性和安全性。</w:t>
      </w:r>
    </w:p>
    <w:p>
      <w:pPr>
        <w:adjustRightInd w:val="0"/>
        <w:snapToGrid w:val="0"/>
        <w:ind w:firstLine="562"/>
        <w:rPr>
          <w:rFonts w:ascii="宋体" w:hAnsi="宋体"/>
          <w:color w:val="000000"/>
        </w:rPr>
      </w:pPr>
      <w:r>
        <w:rPr>
          <w:rFonts w:hint="eastAsia" w:ascii="宋体" w:hAnsi="宋体"/>
          <w:b/>
          <w:color w:val="000000"/>
        </w:rPr>
        <w:t>坚持绿色低碳。</w:t>
      </w:r>
      <w:r>
        <w:rPr>
          <w:rFonts w:hint="eastAsia" w:ascii="宋体" w:hAnsi="宋体"/>
          <w:color w:val="000000"/>
        </w:rPr>
        <w:t>坚持统筹城乡建设发展的经济需要、生活需要、生态需要、安全需要，紧扣碳达峰碳中和目标推动绿色低碳发展，将碳达峰碳中和全面融入城乡人居环境建设，推动城市和乡村提质增效，提升城乡承载力和公共服务水平，增强城市综合服务能力，以绿色低碳理念引领城乡人居环境高质量发展。</w:t>
      </w:r>
    </w:p>
    <w:p>
      <w:pPr>
        <w:adjustRightInd w:val="0"/>
        <w:snapToGrid w:val="0"/>
        <w:ind w:firstLine="562"/>
        <w:rPr>
          <w:rFonts w:ascii="宋体" w:hAnsi="宋体"/>
          <w:color w:val="000000"/>
        </w:rPr>
      </w:pPr>
      <w:r>
        <w:rPr>
          <w:rFonts w:hint="eastAsia" w:ascii="宋体" w:hAnsi="宋体"/>
          <w:b/>
          <w:color w:val="000000"/>
        </w:rPr>
        <w:t>坚持传承文化。</w:t>
      </w:r>
      <w:r>
        <w:rPr>
          <w:rFonts w:hint="eastAsia" w:ascii="宋体" w:hAnsi="宋体"/>
          <w:bCs/>
          <w:color w:val="000000"/>
        </w:rPr>
        <w:t>历史文化是城乡人居的魅力之源，城市和乡村是民族文化和情感记忆的空间载体。处理好保护、传承与发展的关系，要坚持保护优先理念，保护文物建筑和街巷机理，留住城乡特有的地域环境、文化特色、建筑风貌等文脉基因。传承城乡历史文脉，要用足“绣花”功夫，精心修缮、适度开发，呵护历史文脉，改善人居环境，嵌入设施、融入功能、植入文化，提升人居环境空间品质和文化魅力</w:t>
      </w:r>
      <w:r>
        <w:rPr>
          <w:rFonts w:hint="eastAsia" w:ascii="宋体" w:hAnsi="宋体"/>
          <w:color w:val="000000"/>
        </w:rPr>
        <w:t>，让人们记得住乡愁。</w:t>
      </w:r>
    </w:p>
    <w:p>
      <w:pPr>
        <w:adjustRightInd w:val="0"/>
        <w:snapToGrid w:val="0"/>
        <w:ind w:firstLine="562"/>
        <w:rPr>
          <w:rFonts w:ascii="宋体" w:hAnsi="宋体"/>
          <w:color w:val="000000"/>
        </w:rPr>
      </w:pPr>
      <w:r>
        <w:rPr>
          <w:rFonts w:hint="eastAsia" w:ascii="宋体" w:hAnsi="宋体"/>
          <w:b/>
          <w:color w:val="000000"/>
        </w:rPr>
        <w:t>坚持共建共治共享。</w:t>
      </w:r>
      <w:r>
        <w:rPr>
          <w:rFonts w:hint="eastAsia" w:ascii="宋体" w:hAnsi="宋体"/>
          <w:color w:val="000000"/>
        </w:rPr>
        <w:t>发挥各级政府主导作用和市场配置资源决定性作用，尊重群众意愿，鼓励和引导社会各方力量广泛参与，推动形成共建共治共享的社会环境。</w:t>
      </w:r>
    </w:p>
    <w:p>
      <w:pPr>
        <w:pStyle w:val="5"/>
        <w:numPr>
          <w:ilvl w:val="0"/>
          <w:numId w:val="1"/>
        </w:numPr>
        <w:spacing w:before="190"/>
        <w:rPr>
          <w:rFonts w:ascii="宋体" w:hAnsi="宋体"/>
          <w:color w:val="000000"/>
        </w:rPr>
      </w:pPr>
      <w:bookmarkStart w:id="84" w:name="_Toc118566398"/>
      <w:bookmarkStart w:id="85" w:name="_Toc118566265"/>
      <w:bookmarkStart w:id="86" w:name="_Toc118566531"/>
      <w:bookmarkStart w:id="87" w:name="_Toc118566665"/>
      <w:bookmarkStart w:id="88" w:name="_Toc119916733"/>
      <w:r>
        <w:rPr>
          <w:rFonts w:hint="eastAsia" w:ascii="宋体" w:hAnsi="宋体"/>
          <w:color w:val="000000"/>
        </w:rPr>
        <w:t>规划目标</w:t>
      </w:r>
      <w:bookmarkEnd w:id="84"/>
      <w:bookmarkEnd w:id="85"/>
      <w:bookmarkEnd w:id="86"/>
      <w:bookmarkEnd w:id="87"/>
      <w:bookmarkEnd w:id="88"/>
    </w:p>
    <w:p>
      <w:pPr>
        <w:adjustRightInd w:val="0"/>
        <w:snapToGrid w:val="0"/>
        <w:ind w:firstLine="560"/>
        <w:rPr>
          <w:rFonts w:ascii="宋体" w:hAnsi="宋体"/>
          <w:color w:val="000000"/>
        </w:rPr>
      </w:pPr>
      <w:r>
        <w:rPr>
          <w:rFonts w:hint="eastAsia" w:ascii="宋体" w:hAnsi="宋体"/>
          <w:color w:val="000000"/>
        </w:rPr>
        <w:t>以城乡融合发展和乡村振兴战略为抓手，推进区域协调发展，尊重城市和乡村发展的客观规律，以缩小城乡发展差距和居民生活水平差距为目标，探索差异化的城乡发展路径，不断优化城乡要素自由流动、平等交换和公共资源合理配置，加快形成工农互促、城乡互补、全面融合、共同繁荣的新型城乡关系，整体提升城乡人居环境水平，促进城乡协调融合的高质量发展。全面实施城乡人居环境建设行动，构建城市、社区等全覆盖的城市人居环境建设体系。</w:t>
      </w:r>
    </w:p>
    <w:p>
      <w:pPr>
        <w:adjustRightInd w:val="0"/>
        <w:snapToGrid w:val="0"/>
        <w:ind w:firstLine="562"/>
        <w:rPr>
          <w:rFonts w:ascii="宋体" w:hAnsi="宋体"/>
          <w:color w:val="000000"/>
        </w:rPr>
      </w:pPr>
      <w:r>
        <w:rPr>
          <w:rFonts w:hint="eastAsia" w:ascii="宋体" w:hAnsi="宋体"/>
          <w:b/>
          <w:color w:val="000000"/>
        </w:rPr>
        <w:t>城乡人居自然生态环境长足改善。</w:t>
      </w:r>
      <w:r>
        <w:rPr>
          <w:rFonts w:hint="eastAsia" w:ascii="宋体" w:hAnsi="宋体"/>
          <w:color w:val="000000"/>
        </w:rPr>
        <w:t>区域自然生态本底质量得到提升，城市生态系统得到修复改善，乡村山水田园系统得到有效保护，融合城乡人居环境发展，城乡自然生态环境和人工建设环境和谐统一的空间形态基本构建，人与自然和谐共生的生活方式和文化观念基本形成。</w:t>
      </w:r>
    </w:p>
    <w:p>
      <w:pPr>
        <w:adjustRightInd w:val="0"/>
        <w:snapToGrid w:val="0"/>
        <w:ind w:firstLine="562"/>
        <w:rPr>
          <w:rFonts w:ascii="宋体" w:hAnsi="宋体"/>
          <w:color w:val="000000"/>
        </w:rPr>
      </w:pPr>
      <w:r>
        <w:rPr>
          <w:rFonts w:hint="eastAsia" w:ascii="宋体" w:hAnsi="宋体"/>
          <w:b/>
          <w:color w:val="000000"/>
        </w:rPr>
        <w:t>城市人居环境品质显著提升。</w:t>
      </w:r>
      <w:r>
        <w:rPr>
          <w:rFonts w:hint="eastAsia" w:ascii="宋体" w:hAnsi="宋体"/>
          <w:color w:val="000000"/>
        </w:rPr>
        <w:t>城市人居环境建设要坚持绿色发展，优化城市空间布局，要坚持以人为本，完善公共基础设施和城市服务功能，要坚持彰显特色，保护传承城市历史文化，要坚持民生优先，强化城市安全韧性保障。社区人居环境建设要对标“绿色社区”，健全基层治理体系，补齐基层服务短板，完善城市基层生活单元，全面提升城市人居环境建设。</w:t>
      </w:r>
    </w:p>
    <w:p>
      <w:pPr>
        <w:adjustRightInd w:val="0"/>
        <w:snapToGrid w:val="0"/>
        <w:ind w:firstLine="562"/>
        <w:rPr>
          <w:rFonts w:ascii="宋体" w:hAnsi="宋体"/>
          <w:color w:val="000000"/>
        </w:rPr>
      </w:pPr>
      <w:r>
        <w:rPr>
          <w:rFonts w:hint="eastAsia" w:ascii="宋体" w:hAnsi="宋体"/>
          <w:b/>
          <w:color w:val="000000"/>
        </w:rPr>
        <w:t>乡村人居环境更加优美。</w:t>
      </w:r>
      <w:r>
        <w:rPr>
          <w:rFonts w:hint="eastAsia" w:ascii="宋体" w:hAnsi="宋体"/>
          <w:color w:val="000000"/>
        </w:rPr>
        <w:t>推动城乡人居环境融合发展，持续培育创建百强中心镇，加快补齐小城镇基础设施短板。实施乡村建设行动，做好农村危房改造工作，完善农村基础设施及公共服务设施建设，持续开展农村厕所革命，</w:t>
      </w:r>
      <w:r>
        <w:rPr>
          <w:rFonts w:ascii="宋体" w:hAnsi="宋体"/>
          <w:color w:val="000000"/>
        </w:rPr>
        <w:t>农民居住条件和乡村风貌得到</w:t>
      </w:r>
      <w:r>
        <w:rPr>
          <w:rFonts w:hint="eastAsia" w:ascii="宋体" w:hAnsi="宋体"/>
          <w:color w:val="000000"/>
        </w:rPr>
        <w:t>有效改善。</w:t>
      </w:r>
    </w:p>
    <w:p>
      <w:pPr>
        <w:adjustRightInd w:val="0"/>
        <w:snapToGrid w:val="0"/>
        <w:ind w:firstLine="562"/>
        <w:rPr>
          <w:rFonts w:ascii="宋体" w:hAnsi="宋体"/>
          <w:color w:val="000000"/>
        </w:rPr>
      </w:pPr>
      <w:r>
        <w:rPr>
          <w:rFonts w:hint="eastAsia" w:ascii="宋体" w:hAnsi="宋体"/>
          <w:b/>
          <w:color w:val="000000"/>
        </w:rPr>
        <w:t>人居环境建设模式逐步转变</w:t>
      </w:r>
      <w:r>
        <w:rPr>
          <w:rFonts w:hint="eastAsia" w:ascii="宋体" w:hAnsi="宋体"/>
          <w:color w:val="000000"/>
        </w:rPr>
        <w:t>。大力推广绿色建筑，提升建筑节能水平；优化建筑用能结构，推动可再生能源在建筑领域的规模化应用；加快发展智能绿色建造，促进建筑节能低碳发展；大力发展装配式建筑，推进新型建筑工业化发展。</w:t>
      </w:r>
    </w:p>
    <w:p>
      <w:pPr>
        <w:adjustRightInd w:val="0"/>
        <w:snapToGrid w:val="0"/>
        <w:ind w:firstLine="562"/>
        <w:rPr>
          <w:rFonts w:ascii="宋体" w:hAnsi="宋体"/>
          <w:color w:val="000000"/>
        </w:rPr>
      </w:pPr>
      <w:r>
        <w:rPr>
          <w:rFonts w:ascii="宋体" w:hAnsi="宋体"/>
          <w:b/>
          <w:color w:val="000000"/>
        </w:rPr>
        <w:t>城镇住房条件持续改善</w:t>
      </w:r>
      <w:r>
        <w:rPr>
          <w:rFonts w:hint="eastAsia" w:ascii="宋体" w:hAnsi="宋体"/>
          <w:b/>
          <w:color w:val="000000"/>
        </w:rPr>
        <w:t>。</w:t>
      </w:r>
      <w:r>
        <w:rPr>
          <w:rFonts w:hint="eastAsia" w:ascii="宋体" w:hAnsi="宋体"/>
          <w:color w:val="000000"/>
        </w:rPr>
        <w:t>建立健全多主体供给、多渠道保障、租购并举的住房保障制度。推进保障性安居工程，全面实施城镇老旧小区改造，稳步实施棚户区改造。加大公租房房源筹集力度，探索发展共有产权住房。加强住房保障建设、分配、退出全过程信息公开。</w:t>
      </w:r>
    </w:p>
    <w:p>
      <w:pPr>
        <w:adjustRightInd w:val="0"/>
        <w:snapToGrid w:val="0"/>
        <w:ind w:firstLine="562"/>
        <w:rPr>
          <w:rFonts w:ascii="宋体" w:hAnsi="宋体"/>
          <w:color w:val="000000"/>
        </w:rPr>
      </w:pPr>
      <w:r>
        <w:rPr>
          <w:rFonts w:ascii="宋体" w:hAnsi="宋体"/>
          <w:b/>
          <w:color w:val="000000"/>
        </w:rPr>
        <w:t>历史文化保护传承持续加强</w:t>
      </w:r>
      <w:r>
        <w:rPr>
          <w:rFonts w:hint="eastAsia" w:ascii="宋体" w:hAnsi="宋体"/>
          <w:b/>
          <w:color w:val="000000"/>
        </w:rPr>
        <w:t>。</w:t>
      </w:r>
      <w:r>
        <w:rPr>
          <w:rFonts w:hint="eastAsia" w:ascii="宋体" w:hAnsi="宋体"/>
          <w:color w:val="000000"/>
        </w:rPr>
        <w:t>保护历史街巷空间格局和传统风貌，开展评估监督工作，加强规划建设管控，完善保护管理机制，健全多层级多要素城乡历史文化保护传承体系。</w:t>
      </w:r>
    </w:p>
    <w:p>
      <w:pPr>
        <w:adjustRightInd w:val="0"/>
        <w:snapToGrid w:val="0"/>
        <w:ind w:firstLine="562"/>
        <w:rPr>
          <w:rFonts w:ascii="宋体" w:hAnsi="宋体"/>
          <w:color w:val="000000"/>
        </w:rPr>
      </w:pPr>
      <w:r>
        <w:rPr>
          <w:rFonts w:ascii="宋体" w:hAnsi="宋体"/>
          <w:b/>
          <w:color w:val="000000"/>
        </w:rPr>
        <w:t>城乡治理现代化水平不断提升</w:t>
      </w:r>
      <w:r>
        <w:rPr>
          <w:rFonts w:hint="eastAsia" w:ascii="宋体" w:hAnsi="宋体"/>
          <w:b/>
          <w:color w:val="000000"/>
        </w:rPr>
        <w:t>。</w:t>
      </w:r>
      <w:r>
        <w:rPr>
          <w:rFonts w:hint="eastAsia" w:ascii="宋体" w:hAnsi="宋体"/>
          <w:color w:val="000000"/>
        </w:rPr>
        <w:t>统筹城乡人居环境领域治理，创新城市治理方式，构建共建共治共享治理格局，加强乡村建设管理，显著提高城乡人居环境现代化治理能力。</w:t>
      </w:r>
    </w:p>
    <w:p>
      <w:pPr>
        <w:adjustRightInd w:val="0"/>
        <w:snapToGrid w:val="0"/>
        <w:ind w:firstLine="560"/>
        <w:rPr>
          <w:rFonts w:ascii="宋体" w:hAnsi="宋体"/>
          <w:color w:val="000000"/>
        </w:rPr>
      </w:pPr>
      <w:r>
        <w:rPr>
          <w:rFonts w:hint="eastAsia" w:ascii="宋体" w:hAnsi="宋体"/>
          <w:color w:val="000000"/>
        </w:rPr>
        <w:t>到</w:t>
      </w:r>
      <w:r>
        <w:rPr>
          <w:rFonts w:ascii="宋体" w:hAnsi="宋体"/>
          <w:color w:val="000000"/>
        </w:rPr>
        <w:t>2025年，全市城乡人居环境建设的路径与动力机制基本形成，</w:t>
      </w:r>
      <w:r>
        <w:rPr>
          <w:rFonts w:hint="eastAsia" w:ascii="宋体" w:hAnsi="宋体"/>
          <w:color w:val="000000"/>
        </w:rPr>
        <w:t>城乡人居环境治理体系不断完善，人居环境区域发展格局优化调整，城乡人居环境品质显著提升。</w:t>
      </w:r>
    </w:p>
    <w:p>
      <w:pPr>
        <w:pStyle w:val="5"/>
        <w:numPr>
          <w:ilvl w:val="0"/>
          <w:numId w:val="1"/>
        </w:numPr>
        <w:spacing w:before="190"/>
        <w:rPr>
          <w:rFonts w:ascii="宋体" w:hAnsi="宋体"/>
          <w:color w:val="000000"/>
        </w:rPr>
      </w:pPr>
      <w:bookmarkStart w:id="89" w:name="_Toc118566399"/>
      <w:bookmarkStart w:id="90" w:name="_Toc118566266"/>
      <w:bookmarkStart w:id="91" w:name="_Toc118566532"/>
      <w:bookmarkStart w:id="92" w:name="_Toc118566666"/>
      <w:bookmarkStart w:id="93" w:name="_Toc119916734"/>
      <w:r>
        <w:rPr>
          <w:rFonts w:hint="eastAsia" w:ascii="宋体" w:hAnsi="宋体"/>
          <w:color w:val="000000"/>
        </w:rPr>
        <w:t>规划指标</w:t>
      </w:r>
      <w:bookmarkEnd w:id="89"/>
      <w:bookmarkEnd w:id="90"/>
      <w:bookmarkEnd w:id="91"/>
      <w:bookmarkEnd w:id="92"/>
      <w:bookmarkEnd w:id="93"/>
    </w:p>
    <w:p>
      <w:pPr>
        <w:adjustRightInd w:val="0"/>
        <w:snapToGrid w:val="0"/>
        <w:ind w:firstLine="560"/>
        <w:rPr>
          <w:rFonts w:ascii="宋体" w:hAnsi="宋体"/>
          <w:color w:val="000000"/>
        </w:rPr>
      </w:pPr>
      <w:r>
        <w:rPr>
          <w:rFonts w:hint="eastAsia" w:ascii="宋体" w:hAnsi="宋体"/>
          <w:color w:val="000000"/>
        </w:rPr>
        <w:t>本次规划指标按照中国人居环境示范城市指标进行规划，主要分为生态宜居、健康舒适、安全韧性、交通便捷、风貌特色、整洁有序、多元包容和创新活力八个方面，具体规划指标如下表所示：</w:t>
      </w:r>
    </w:p>
    <w:p>
      <w:pPr>
        <w:adjustRightInd w:val="0"/>
        <w:snapToGrid w:val="0"/>
        <w:ind w:firstLine="560"/>
        <w:jc w:val="center"/>
        <w:rPr>
          <w:rFonts w:ascii="宋体" w:hAnsi="宋体"/>
          <w:color w:val="000000"/>
        </w:rPr>
        <w:sectPr>
          <w:footerReference r:id="rId13" w:type="first"/>
          <w:footerReference r:id="rId11" w:type="default"/>
          <w:footerReference r:id="rId12" w:type="even"/>
          <w:pgSz w:w="11906" w:h="16838"/>
          <w:pgMar w:top="1440" w:right="1800" w:bottom="1440" w:left="1800" w:header="907" w:footer="567" w:gutter="0"/>
          <w:pgNumType w:start="1"/>
          <w:cols w:space="720" w:num="1"/>
          <w:docGrid w:type="lines" w:linePitch="381" w:charSpace="0"/>
        </w:sectPr>
      </w:pPr>
      <w:r>
        <w:rPr>
          <w:rFonts w:hint="eastAsia" w:ascii="宋体" w:hAnsi="宋体"/>
          <w:color w:val="000000"/>
        </w:rPr>
        <w:t>“十四五”时期广元市中心城区人居环境建设主要指标</w:t>
      </w:r>
    </w:p>
    <w:tbl>
      <w:tblPr>
        <w:tblStyle w:val="18"/>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4100"/>
        <w:gridCol w:w="1253"/>
        <w:gridCol w:w="1401"/>
        <w:gridCol w:w="1741"/>
        <w:gridCol w:w="1474"/>
        <w:gridCol w:w="3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blHeader/>
        </w:trPr>
        <w:tc>
          <w:tcPr>
            <w:tcW w:w="72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目标</w:t>
            </w: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指标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2020年</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2025年目标值</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人居环境示范城市指标</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属性</w:t>
            </w:r>
          </w:p>
        </w:tc>
        <w:tc>
          <w:tcPr>
            <w:tcW w:w="3482" w:type="dxa"/>
            <w:vAlign w:val="center"/>
          </w:tcPr>
          <w:p>
            <w:pPr>
              <w:widowControl/>
              <w:adjustRightInd w:val="0"/>
              <w:snapToGrid w:val="0"/>
              <w:spacing w:line="240" w:lineRule="auto"/>
              <w:ind w:firstLine="0" w:firstLineChars="0"/>
              <w:jc w:val="center"/>
              <w:rPr>
                <w:rFonts w:ascii="宋体" w:hAnsi="宋体" w:cs="宋体"/>
                <w:color w:val="000000"/>
                <w:kern w:val="0"/>
                <w:sz w:val="20"/>
                <w:szCs w:val="20"/>
              </w:rPr>
            </w:pPr>
            <w:r>
              <w:rPr>
                <w:rFonts w:hint="eastAsia" w:ascii="宋体" w:hAnsi="宋体" w:cs="宋体"/>
                <w:color w:val="000000"/>
                <w:kern w:val="0"/>
                <w:sz w:val="20"/>
                <w:szCs w:val="20"/>
              </w:rPr>
              <w:t>指标释义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3" w:type="dxa"/>
            <w:vMerge w:val="restart"/>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一、生态宜居</w:t>
            </w: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区域开发强度（%）</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1.63%</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1.54%</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市辖区建成区面积占市辖区总面积的百分比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人口密度（万人/平方公里）</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1.59</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1.43</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≤1.5万人/平方公里</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人口密度是指市辖区建成区内每平方公里的人口数量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新建住宅建筑高度不超过80米的占比（%）</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约束性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当年市辖区建成区内新建住宅建筑中高度不超过80米的住宅建筑占新建住宅建筑的比例。建筑高度是指建筑物屋面面层到室外地坪的高度。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单位GDP二氧化碳排放强度下降比例（%）</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年降速6.49%</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年降速3.6%</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年降速≥3.6%</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当年城市单位国内生产总值二氧化碳排放量近三年年均降速。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城市环境噪声达标区覆盖率（%）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市辖区建成区内环境噪声达标区面积，占建成区总面积的百分比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新建建筑中绿色建筑占比（%）</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51.4%</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bookmarkStart w:id="94" w:name="RANGE!G8"/>
            <w:r>
              <w:rPr>
                <w:rFonts w:hint="eastAsia" w:ascii="宋体" w:hAnsi="宋体" w:cs="宋体"/>
                <w:color w:val="000000"/>
                <w:kern w:val="0"/>
                <w:sz w:val="24"/>
                <w:szCs w:val="24"/>
              </w:rPr>
              <w:t>导向性</w:t>
            </w:r>
            <w:bookmarkEnd w:id="94"/>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市辖区建成区内按照绿色建筑相关标准当年新建的建筑面积，占全部新建建筑总面积的百分比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城市建成区绿地率（%）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38.33%</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城市建成区人均公园绿地面积（平方米）</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16.19</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17</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城市绿道服务半径覆盖率（%）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城市绿道1公里半径（步行15分钟或骑行5分钟）覆盖的市辖区建成区居住用地面积，占市辖区建成区总居住用地面积的百分比。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城市公园绿化活动场地服务半径覆盖率（%）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85.1%</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公园绿化活动场地服务半径覆盖的居住用地面积（km</w:t>
            </w:r>
            <w:r>
              <w:rPr>
                <w:rFonts w:hint="eastAsia" w:ascii="宋体" w:hAnsi="宋体" w:cs="宋体"/>
                <w:color w:val="000000"/>
                <w:kern w:val="0"/>
                <w:sz w:val="20"/>
                <w:szCs w:val="20"/>
                <w:vertAlign w:val="superscript"/>
              </w:rPr>
              <w:t>2</w:t>
            </w:r>
            <w:r>
              <w:rPr>
                <w:rFonts w:hint="eastAsia" w:ascii="宋体" w:hAnsi="宋体" w:cs="宋体"/>
                <w:color w:val="000000"/>
                <w:kern w:val="0"/>
                <w:sz w:val="20"/>
                <w:szCs w:val="20"/>
              </w:rPr>
              <w:t>）占居住用地总面积（km</w:t>
            </w:r>
            <w:r>
              <w:rPr>
                <w:rFonts w:hint="eastAsia" w:ascii="宋体" w:hAnsi="宋体" w:cs="宋体"/>
                <w:color w:val="000000"/>
                <w:kern w:val="0"/>
                <w:sz w:val="20"/>
                <w:szCs w:val="20"/>
                <w:vertAlign w:val="superscript"/>
              </w:rPr>
              <w:t>2</w:t>
            </w:r>
            <w:r>
              <w:rPr>
                <w:rFonts w:hint="eastAsia" w:ascii="宋体" w:hAnsi="宋体" w:cs="宋体"/>
                <w:color w:val="000000"/>
                <w:kern w:val="0"/>
                <w:sz w:val="20"/>
                <w:szCs w:val="20"/>
              </w:rPr>
              <w:t>）的百分比。（5000m</w:t>
            </w:r>
            <w:r>
              <w:rPr>
                <w:rFonts w:hint="eastAsia" w:ascii="宋体" w:hAnsi="宋体" w:cs="宋体"/>
                <w:color w:val="000000"/>
                <w:kern w:val="0"/>
                <w:sz w:val="20"/>
                <w:szCs w:val="20"/>
                <w:vertAlign w:val="superscript"/>
              </w:rPr>
              <w:t>2</w:t>
            </w:r>
            <w:r>
              <w:rPr>
                <w:rFonts w:hint="eastAsia" w:ascii="宋体" w:hAnsi="宋体" w:cs="宋体"/>
                <w:color w:val="000000"/>
                <w:kern w:val="0"/>
                <w:sz w:val="20"/>
                <w:szCs w:val="20"/>
              </w:rPr>
              <w:t>及以上公园绿化活动场地按500米服务半径测算；400—5000m</w:t>
            </w:r>
            <w:r>
              <w:rPr>
                <w:rFonts w:hint="eastAsia" w:ascii="宋体" w:hAnsi="宋体" w:cs="宋体"/>
                <w:color w:val="000000"/>
                <w:kern w:val="0"/>
                <w:sz w:val="20"/>
                <w:szCs w:val="20"/>
                <w:vertAlign w:val="superscript"/>
              </w:rPr>
              <w:t>2</w:t>
            </w:r>
            <w:r>
              <w:rPr>
                <w:rFonts w:hint="eastAsia" w:ascii="宋体" w:hAnsi="宋体" w:cs="宋体"/>
                <w:color w:val="000000"/>
                <w:kern w:val="0"/>
                <w:sz w:val="20"/>
                <w:szCs w:val="20"/>
              </w:rPr>
              <w:t>的公园绿化活动场地按300米服务半径测算）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bookmarkStart w:id="95" w:name="RANGE!C13"/>
            <w:r>
              <w:rPr>
                <w:rFonts w:hint="eastAsia" w:ascii="宋体" w:hAnsi="宋体" w:cs="宋体"/>
                <w:color w:val="000000"/>
                <w:kern w:val="0"/>
                <w:sz w:val="24"/>
                <w:szCs w:val="24"/>
              </w:rPr>
              <w:t>城市空气质量优良天数比率（%）</w:t>
            </w:r>
            <w:bookmarkEnd w:id="95"/>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96.50%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97%</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≥87.5%</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约束性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全年环境空气质量优良天数占全年总天数的百分比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地表水达到或好于 III 类水体比例（%）</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≥85%</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约束性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市辖区建成区内纳入国家、省、市地表水考核断面中，达到或好于Ⅲ类水环境质量的断面数量，占考核断面总数量的百分比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城市建成区黑臭水体消除比例</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市本级100%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市本级100%，县级城市达到90%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约束性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城市建成区达到海绵城市建设要求的比例（%）</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21%</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约束性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城市生活垃圾资源化利用率（%）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82.45%</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85%</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市辖区建成区内城市生活垃圾中物质回收利用和能源转化利用的总量占生活垃圾产生总量的百分比。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restart"/>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二、健康舒适</w:t>
            </w: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新建住宅建筑密度（%）</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约束性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市辖区建成区内新建住宅建筑基底面积与所在居住用地面积的比例。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hint="eastAsia" w:ascii="宋体" w:hAnsi="宋体" w:cs="宋体"/>
                <w:kern w:val="0"/>
                <w:sz w:val="24"/>
                <w:szCs w:val="24"/>
              </w:rPr>
              <w:t>完整居住社区覆盖率（%）</w:t>
            </w:r>
          </w:p>
        </w:tc>
        <w:tc>
          <w:tcPr>
            <w:tcW w:w="1253"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hint="eastAsia" w:ascii="宋体" w:hAnsi="宋体" w:cs="宋体"/>
                <w:kern w:val="0"/>
                <w:sz w:val="24"/>
                <w:szCs w:val="24"/>
              </w:rPr>
              <w:t>3.08%</w:t>
            </w:r>
          </w:p>
        </w:tc>
        <w:tc>
          <w:tcPr>
            <w:tcW w:w="1401"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ascii="宋体" w:hAnsi="宋体" w:cs="宋体"/>
                <w:kern w:val="0"/>
                <w:sz w:val="24"/>
                <w:szCs w:val="24"/>
              </w:rPr>
              <w:t>80</w:t>
            </w:r>
            <w:r>
              <w:rPr>
                <w:rFonts w:hint="eastAsia" w:ascii="宋体" w:hAnsi="宋体" w:cs="宋体"/>
                <w:kern w:val="0"/>
                <w:sz w:val="24"/>
                <w:szCs w:val="24"/>
              </w:rPr>
              <w:t>%</w:t>
            </w:r>
          </w:p>
        </w:tc>
        <w:tc>
          <w:tcPr>
            <w:tcW w:w="1741"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hint="eastAsia" w:ascii="宋体" w:hAnsi="宋体" w:cs="宋体"/>
                <w:kern w:val="0"/>
                <w:sz w:val="24"/>
                <w:szCs w:val="24"/>
              </w:rPr>
              <w:t>≥50%</w:t>
            </w:r>
          </w:p>
        </w:tc>
        <w:tc>
          <w:tcPr>
            <w:tcW w:w="1474"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hint="eastAsia" w:ascii="宋体" w:hAnsi="宋体" w:cs="宋体"/>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市辖区建成区内达到《完整居住社区建设标准（试行）》的居住社区数量，占居住社区总数的百分比。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社区便民商业服务设施覆盖率（%）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86.15%</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市辖区建成区内15分钟步行距离内有便民超市、便利店、快递点等公共服务设施的社区数占建成区社区总数的比例。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社区老年服务站覆盖率（%）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市辖区建成区内建有社区老年服务站的社区数，占社区总数的百分比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普惠性幼儿园覆盖率（%）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86.36%</w:t>
            </w:r>
          </w:p>
        </w:tc>
        <w:tc>
          <w:tcPr>
            <w:tcW w:w="1401"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hint="eastAsia" w:ascii="宋体" w:hAnsi="宋体" w:cs="宋体"/>
                <w:kern w:val="0"/>
                <w:sz w:val="24"/>
                <w:szCs w:val="24"/>
              </w:rPr>
              <w:t>88%</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市辖区建成区内公办幼儿园和普惠性民办幼儿园提供学位数，占在园幼儿数的百分比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bookmarkStart w:id="96" w:name="RANGE!C23"/>
            <w:r>
              <w:rPr>
                <w:rFonts w:hint="eastAsia" w:ascii="宋体" w:hAnsi="宋体" w:cs="宋体"/>
                <w:color w:val="000000"/>
                <w:kern w:val="0"/>
                <w:sz w:val="24"/>
                <w:szCs w:val="24"/>
              </w:rPr>
              <w:t>社区卫生服务中心门诊分担率（%）</w:t>
            </w:r>
            <w:bookmarkEnd w:id="96"/>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18.50%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23%</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≥23%</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市辖区建成区内社区卫生服务机构门诊量，占总门诊量的百分比。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bookmarkStart w:id="97" w:name="RANGE!C24"/>
            <w:r>
              <w:rPr>
                <w:rFonts w:hint="eastAsia" w:ascii="宋体" w:hAnsi="宋体" w:cs="宋体"/>
                <w:color w:val="000000"/>
                <w:kern w:val="0"/>
                <w:sz w:val="24"/>
                <w:szCs w:val="24"/>
              </w:rPr>
              <w:t>城市人均体育场地面积（平方米）</w:t>
            </w:r>
            <w:bookmarkEnd w:id="97"/>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1.93</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市辖区建成区内常住人口人均拥有的体育场地面积。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特殊困难老年人家庭适老化改造率（%）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约束性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实施改造的特殊困难老年人家庭数量占计划改造的贫困老年人家庭总数的比例。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restart"/>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三、安全韧性</w:t>
            </w: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城市易涝积水点消除率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9</w:t>
            </w:r>
            <w:r>
              <w:rPr>
                <w:rFonts w:hint="eastAsia" w:ascii="宋体" w:hAnsi="宋体" w:cs="宋体"/>
                <w:color w:val="000000"/>
                <w:kern w:val="0"/>
                <w:sz w:val="24"/>
                <w:szCs w:val="24"/>
              </w:rPr>
              <w:t>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约束性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历史上严重影响生产生活秩序的易涝积水点全面消除。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城市可渗透地面面积比例（%）</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47.44%</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≥45%</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市辖区建成区内具有渗透能力的地表（含水域）面积，占建成区面积的比例。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城市人均避难场所面积（平方米）</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1.28</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约束性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市辖区建成区内应急避难场所面积与常住人口的比例。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城市道路交通事故万车死亡率（人/万车）</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2.98</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≤2人/万车</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市辖区每年因道路交通事故死亡的人数，与市辖区机动车保有量的比例。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城市标准消防站及小型普通消防站覆盖率（%）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25.69%</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市辖区建成区内标准消防站（7平方公里责任区/5分钟可达）及小型普通消防站（4平方公里责任区）覆盖的建设用地面积，占建成区面积的百分比。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restart"/>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四、交通便捷</w:t>
            </w: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建成区高峰期平均机动车速度（公里/小时）</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37</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主干路：≥20km/h</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市辖区建成区内高峰期各类道路上各类机动车的平均行驶速度。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平均单程通勤时间（分钟）</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27.82</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br/>
            </w:r>
            <w:r>
              <w:rPr>
                <w:rFonts w:hint="eastAsia" w:ascii="宋体" w:hAnsi="宋体" w:cs="宋体"/>
                <w:color w:val="000000"/>
                <w:kern w:val="0"/>
                <w:sz w:val="24"/>
                <w:szCs w:val="24"/>
              </w:rPr>
              <w:t>中小城市≤32分钟</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市辖区内常住人口单程通勤所花费的平均时间。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城市道路网密度（公里/平方公里）</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8.2</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≥8公里/平方公里</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市辖区建成区组团内城市道路长度与组团面积的比例。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绿色出行比例（%）</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71.3%</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75%</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市辖区建成区内采用轨道、公交、步行、骑行等方式的出行量，占城市总出行量的比例。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通勤距离小于5公里的人口比例（%）</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50.85%</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中小城市≥60%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市辖区内常住人口中通勤距离小于5公里的人口数量，占全部通勤人口数量的百分比。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restart"/>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五、风貌特色</w:t>
            </w: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城市历史文化街区保护修缮率（%）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市辖区内近5年开展保护修缮项目的历史文化街区数量，占历史文化街区总量的百分比。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城市历史建筑空置率（%）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22.06%</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市辖区内历史建筑空置数量占城市人民政府公布的历史建筑总数的比例。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万人城市文化建筑面积（平方米）</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489.98</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≥2000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市辖区内文化建筑（包括剧院、图书馆、博物馆、少年宫、文化馆、科普馆等)总面积与市辖区常住人口的比例。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restart"/>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六、整洁有序</w:t>
            </w: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城市居民小区生活垃圾分类覆盖率（%）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城市建成区内开展垃圾分类的小区占小区总数的比例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hint="eastAsia" w:ascii="宋体" w:hAnsi="宋体" w:cs="宋体"/>
                <w:kern w:val="0"/>
                <w:sz w:val="24"/>
                <w:szCs w:val="24"/>
              </w:rPr>
              <w:t>城市生活污水集中收集率（%）</w:t>
            </w:r>
          </w:p>
        </w:tc>
        <w:tc>
          <w:tcPr>
            <w:tcW w:w="1253"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hint="eastAsia" w:ascii="宋体" w:hAnsi="宋体" w:cs="宋体"/>
                <w:kern w:val="0"/>
                <w:sz w:val="24"/>
                <w:szCs w:val="24"/>
              </w:rPr>
              <w:t>48.42%</w:t>
            </w:r>
          </w:p>
        </w:tc>
        <w:tc>
          <w:tcPr>
            <w:tcW w:w="1401"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ascii="宋体" w:hAnsi="宋体" w:cs="宋体"/>
                <w:kern w:val="0"/>
                <w:sz w:val="24"/>
                <w:szCs w:val="24"/>
              </w:rPr>
              <w:t>7</w:t>
            </w:r>
            <w:r>
              <w:rPr>
                <w:rFonts w:hint="eastAsia" w:ascii="宋体" w:hAnsi="宋体" w:cs="宋体"/>
                <w:kern w:val="0"/>
                <w:sz w:val="24"/>
                <w:szCs w:val="24"/>
              </w:rPr>
              <w:t>0%</w:t>
            </w:r>
          </w:p>
        </w:tc>
        <w:tc>
          <w:tcPr>
            <w:tcW w:w="1741"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hint="eastAsia" w:ascii="宋体" w:hAnsi="宋体" w:cs="宋体"/>
                <w:kern w:val="0"/>
                <w:sz w:val="24"/>
                <w:szCs w:val="24"/>
              </w:rPr>
              <w:t>≥70%</w:t>
            </w:r>
          </w:p>
        </w:tc>
        <w:tc>
          <w:tcPr>
            <w:tcW w:w="1474" w:type="dxa"/>
            <w:vAlign w:val="center"/>
          </w:tcPr>
          <w:p>
            <w:pPr>
              <w:widowControl/>
              <w:adjustRightInd w:val="0"/>
              <w:snapToGrid w:val="0"/>
              <w:spacing w:line="240" w:lineRule="auto"/>
              <w:ind w:firstLine="0" w:firstLineChars="0"/>
              <w:jc w:val="center"/>
              <w:rPr>
                <w:rFonts w:ascii="宋体" w:hAnsi="宋体" w:cs="宋体"/>
                <w:kern w:val="0"/>
                <w:sz w:val="24"/>
                <w:szCs w:val="24"/>
              </w:rPr>
            </w:pPr>
            <w:r>
              <w:rPr>
                <w:rFonts w:hint="eastAsia" w:ascii="宋体" w:hAnsi="宋体" w:cs="宋体"/>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kern w:val="0"/>
                <w:sz w:val="20"/>
                <w:szCs w:val="20"/>
              </w:rPr>
            </w:pPr>
            <w:r>
              <w:rPr>
                <w:rFonts w:hint="eastAsia" w:ascii="宋体" w:hAnsi="宋体" w:cs="宋体"/>
                <w:kern w:val="0"/>
                <w:sz w:val="20"/>
                <w:szCs w:val="20"/>
              </w:rPr>
              <w:t>市辖区建成区内通过集中式和分散式污水处理设施收集的生活污染物量占生活污染物排放总量的比例。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实施专业化物业管理的住宅小区占比（%）</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46.21%</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市辖区建成区内实施专业化物业管理的住宅小区数量，占建成区内住宅小区总量的百分比。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城市街道立杆、空中线路规整性（%）</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89.53%</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城市新区、各类园区、成片开发区立杆、空中线路（电线电缆等）规整的城市街道数量占建成区区域内主干道、次干道、支路总量的百分比。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restart"/>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七、多元包容</w:t>
            </w: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道路无障碍设施设置率（%）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61.63%</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市辖区建成区内主干道、次干道、支路的无障碍设施设置率（%）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城市公共空间无障碍设施覆盖率(%)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65%</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≥65%</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城市居民最低生活保障标准占人均消费支出比例（%）</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29.25%</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30%</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≥30%</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城市最低生活保障标准（×12），占上年度城市居民人均消费支出的百分比。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Merge w:val="continue"/>
            <w:vAlign w:val="center"/>
          </w:tcPr>
          <w:p>
            <w:pPr>
              <w:widowControl/>
              <w:adjustRightInd w:val="0"/>
              <w:snapToGrid w:val="0"/>
              <w:spacing w:line="240" w:lineRule="auto"/>
              <w:ind w:firstLine="0" w:firstLineChars="0"/>
              <w:jc w:val="left"/>
              <w:rPr>
                <w:rFonts w:ascii="宋体" w:hAnsi="宋体" w:cs="宋体"/>
                <w:color w:val="000000"/>
                <w:kern w:val="0"/>
                <w:sz w:val="24"/>
                <w:szCs w:val="24"/>
              </w:rPr>
            </w:pP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新市民（青年）保障性租赁住房覆盖率（%）</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ascii="宋体" w:hAnsi="宋体" w:cs="宋体"/>
                <w:color w:val="000000"/>
                <w:kern w:val="0"/>
                <w:sz w:val="20"/>
                <w:szCs w:val="20"/>
              </w:rPr>
              <w:t>市辖区正在享受保障性租赁住房的新市民、青年人数量，占应当享受保障性租赁住房的新市民、青年人总数量的百分比。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72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八、创新活力</w:t>
            </w:r>
          </w:p>
        </w:tc>
        <w:tc>
          <w:tcPr>
            <w:tcW w:w="4100"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全社会R&amp;D支出占GDP比重（%）</w:t>
            </w:r>
          </w:p>
        </w:tc>
        <w:tc>
          <w:tcPr>
            <w:tcW w:w="1253"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0.67%</w:t>
            </w:r>
          </w:p>
        </w:tc>
        <w:tc>
          <w:tcPr>
            <w:tcW w:w="140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1.05%</w:t>
            </w:r>
          </w:p>
        </w:tc>
        <w:tc>
          <w:tcPr>
            <w:tcW w:w="1741"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w:t>
            </w:r>
          </w:p>
        </w:tc>
        <w:tc>
          <w:tcPr>
            <w:tcW w:w="1474" w:type="dxa"/>
            <w:vAlign w:val="center"/>
          </w:tcPr>
          <w:p>
            <w:pPr>
              <w:widowControl/>
              <w:adjustRightInd w:val="0"/>
              <w:snapToGrid w:val="0"/>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导向性</w:t>
            </w:r>
          </w:p>
        </w:tc>
        <w:tc>
          <w:tcPr>
            <w:tcW w:w="3482" w:type="dxa"/>
            <w:vAlign w:val="center"/>
          </w:tcPr>
          <w:p>
            <w:pPr>
              <w:widowControl/>
              <w:adjustRightInd w:val="0"/>
              <w:snapToGrid w:val="0"/>
              <w:spacing w:line="240" w:lineRule="auto"/>
              <w:ind w:firstLine="0" w:firstLineChars="0"/>
              <w:jc w:val="left"/>
              <w:rPr>
                <w:rFonts w:ascii="宋体" w:hAnsi="宋体" w:cs="宋体"/>
                <w:color w:val="000000"/>
                <w:kern w:val="0"/>
                <w:sz w:val="20"/>
                <w:szCs w:val="20"/>
              </w:rPr>
            </w:pPr>
            <w:r>
              <w:rPr>
                <w:rFonts w:hint="eastAsia"/>
                <w:color w:val="000000"/>
                <w:sz w:val="20"/>
                <w:szCs w:val="20"/>
              </w:rPr>
              <w:t>当年全市全社会实际用于基础研究、应用研究和试验发展的经费支出，占国内生产总值的百分比。</w:t>
            </w:r>
          </w:p>
        </w:tc>
      </w:tr>
    </w:tbl>
    <w:p>
      <w:pPr>
        <w:adjustRightInd w:val="0"/>
        <w:snapToGrid w:val="0"/>
        <w:ind w:firstLine="0" w:firstLineChars="0"/>
        <w:rPr>
          <w:rFonts w:ascii="宋体" w:hAnsi="宋体"/>
          <w:color w:val="000000"/>
        </w:rPr>
        <w:sectPr>
          <w:pgSz w:w="16838" w:h="11906" w:orient="landscape"/>
          <w:pgMar w:top="1800" w:right="1440" w:bottom="1800" w:left="1440" w:header="907" w:footer="567" w:gutter="0"/>
          <w:cols w:space="720" w:num="1"/>
          <w:docGrid w:type="lines" w:linePitch="381" w:charSpace="0"/>
        </w:sectPr>
      </w:pPr>
    </w:p>
    <w:p>
      <w:pPr>
        <w:pStyle w:val="4"/>
        <w:rPr>
          <w:rFonts w:ascii="宋体" w:hAnsi="宋体"/>
          <w:color w:val="000000"/>
        </w:rPr>
      </w:pPr>
      <w:bookmarkStart w:id="98" w:name="_Toc118566400"/>
      <w:bookmarkStart w:id="99" w:name="_Toc119916735"/>
      <w:bookmarkStart w:id="100" w:name="_Toc118566667"/>
      <w:bookmarkStart w:id="101" w:name="_Toc118566533"/>
      <w:bookmarkStart w:id="102" w:name="_Toc118566267"/>
      <w:r>
        <w:rPr>
          <w:rFonts w:hint="eastAsia" w:ascii="宋体" w:hAnsi="宋体"/>
          <w:color w:val="000000"/>
        </w:rPr>
        <w:t>第二章 改善城乡人居自然生态环境</w:t>
      </w:r>
      <w:bookmarkEnd w:id="98"/>
      <w:bookmarkEnd w:id="99"/>
      <w:bookmarkEnd w:id="100"/>
      <w:bookmarkEnd w:id="101"/>
      <w:bookmarkEnd w:id="102"/>
    </w:p>
    <w:p>
      <w:pPr>
        <w:pStyle w:val="5"/>
        <w:numPr>
          <w:ilvl w:val="0"/>
          <w:numId w:val="2"/>
        </w:numPr>
        <w:spacing w:before="190"/>
        <w:rPr>
          <w:rFonts w:ascii="宋体" w:hAnsi="宋体"/>
          <w:color w:val="000000"/>
        </w:rPr>
      </w:pPr>
      <w:bookmarkStart w:id="103" w:name="_Toc118566534"/>
      <w:bookmarkStart w:id="104" w:name="_Toc118566268"/>
      <w:bookmarkStart w:id="105" w:name="_Toc118566668"/>
      <w:bookmarkStart w:id="106" w:name="_Toc118566401"/>
      <w:bookmarkStart w:id="107" w:name="_Toc119916736"/>
      <w:r>
        <w:rPr>
          <w:rFonts w:hint="eastAsia" w:ascii="宋体" w:hAnsi="宋体"/>
          <w:color w:val="000000"/>
        </w:rPr>
        <w:t>提升区域自然生态本底质量</w:t>
      </w:r>
      <w:bookmarkEnd w:id="103"/>
      <w:bookmarkEnd w:id="104"/>
      <w:bookmarkEnd w:id="105"/>
      <w:bookmarkEnd w:id="106"/>
      <w:bookmarkEnd w:id="107"/>
    </w:p>
    <w:p>
      <w:pPr>
        <w:pStyle w:val="6"/>
        <w:ind w:firstLine="141"/>
        <w:rPr>
          <w:rFonts w:ascii="宋体" w:hAnsi="宋体"/>
          <w:color w:val="000000"/>
        </w:rPr>
      </w:pPr>
      <w:bookmarkStart w:id="108" w:name="_Toc118566535"/>
      <w:bookmarkStart w:id="109" w:name="_Toc118566669"/>
      <w:bookmarkStart w:id="110" w:name="_Toc118566269"/>
      <w:bookmarkStart w:id="111" w:name="_Toc118566402"/>
      <w:r>
        <w:rPr>
          <w:rFonts w:hint="eastAsia" w:ascii="宋体" w:hAnsi="宋体"/>
          <w:color w:val="000000"/>
        </w:rPr>
        <w:t>（一）构建生态空间格局</w:t>
      </w:r>
      <w:bookmarkEnd w:id="108"/>
      <w:bookmarkEnd w:id="109"/>
      <w:bookmarkEnd w:id="110"/>
      <w:bookmarkEnd w:id="111"/>
    </w:p>
    <w:p>
      <w:pPr>
        <w:adjustRightInd w:val="0"/>
        <w:snapToGrid w:val="0"/>
        <w:ind w:firstLine="560"/>
        <w:rPr>
          <w:color w:val="000000"/>
        </w:rPr>
      </w:pPr>
      <w:r>
        <w:rPr>
          <w:rFonts w:hint="eastAsia"/>
          <w:color w:val="000000"/>
        </w:rPr>
        <w:t>坚持生态优先，构建“一江、</w:t>
      </w:r>
      <w:r>
        <w:rPr>
          <w:color w:val="000000"/>
        </w:rPr>
        <w:t>一屏</w:t>
      </w:r>
      <w:r>
        <w:rPr>
          <w:rFonts w:hint="eastAsia"/>
          <w:color w:val="000000"/>
        </w:rPr>
        <w:t>、</w:t>
      </w:r>
      <w:r>
        <w:rPr>
          <w:color w:val="000000"/>
        </w:rPr>
        <w:t>五廊</w:t>
      </w:r>
      <w:r>
        <w:rPr>
          <w:rFonts w:hint="eastAsia"/>
          <w:color w:val="000000"/>
        </w:rPr>
        <w:t>、</w:t>
      </w:r>
      <w:r>
        <w:rPr>
          <w:color w:val="000000"/>
        </w:rPr>
        <w:t>多点</w:t>
      </w:r>
      <w:r>
        <w:rPr>
          <w:rFonts w:hint="eastAsia"/>
          <w:color w:val="000000"/>
        </w:rPr>
        <w:t>”生态空间格局，“</w:t>
      </w:r>
      <w:r>
        <w:rPr>
          <w:color w:val="000000"/>
        </w:rPr>
        <w:t>一江</w:t>
      </w:r>
      <w:r>
        <w:rPr>
          <w:rFonts w:hint="eastAsia"/>
          <w:color w:val="000000"/>
        </w:rPr>
        <w:t>”即</w:t>
      </w:r>
      <w:r>
        <w:rPr>
          <w:color w:val="000000"/>
        </w:rPr>
        <w:t>嘉陵江</w:t>
      </w:r>
      <w:r>
        <w:rPr>
          <w:rFonts w:hint="eastAsia"/>
          <w:color w:val="000000"/>
        </w:rPr>
        <w:t>；“</w:t>
      </w:r>
      <w:r>
        <w:rPr>
          <w:color w:val="000000"/>
        </w:rPr>
        <w:t>一屏</w:t>
      </w:r>
      <w:r>
        <w:rPr>
          <w:rFonts w:hint="eastAsia"/>
          <w:color w:val="000000"/>
        </w:rPr>
        <w:t>”即</w:t>
      </w:r>
      <w:r>
        <w:rPr>
          <w:color w:val="000000"/>
        </w:rPr>
        <w:t>岷山</w:t>
      </w:r>
      <w:r>
        <w:rPr>
          <w:rFonts w:hint="eastAsia"/>
          <w:color w:val="000000"/>
        </w:rPr>
        <w:t>-</w:t>
      </w:r>
      <w:r>
        <w:rPr>
          <w:color w:val="000000"/>
        </w:rPr>
        <w:t>秦巴山生态保护屏障</w:t>
      </w:r>
      <w:r>
        <w:rPr>
          <w:rFonts w:hint="eastAsia"/>
          <w:color w:val="000000"/>
        </w:rPr>
        <w:t>；“</w:t>
      </w:r>
      <w:r>
        <w:rPr>
          <w:color w:val="000000"/>
        </w:rPr>
        <w:t>五廊</w:t>
      </w:r>
      <w:r>
        <w:rPr>
          <w:rFonts w:hint="eastAsia"/>
          <w:color w:val="000000"/>
        </w:rPr>
        <w:t>”即</w:t>
      </w:r>
      <w:r>
        <w:rPr>
          <w:color w:val="000000"/>
        </w:rPr>
        <w:t>白龙江、清江河、东河、南河、剑门蜀道古柏生态廊</w:t>
      </w:r>
      <w:r>
        <w:rPr>
          <w:rFonts w:hint="eastAsia"/>
          <w:color w:val="000000"/>
        </w:rPr>
        <w:t>；“</w:t>
      </w:r>
      <w:r>
        <w:rPr>
          <w:color w:val="000000"/>
        </w:rPr>
        <w:t>多点</w:t>
      </w:r>
      <w:r>
        <w:rPr>
          <w:rFonts w:hint="eastAsia"/>
          <w:color w:val="000000"/>
        </w:rPr>
        <w:t>”即</w:t>
      </w:r>
      <w:r>
        <w:rPr>
          <w:color w:val="000000"/>
        </w:rPr>
        <w:t>自然保护地、水源涵养区等资源保护区</w:t>
      </w:r>
      <w:r>
        <w:rPr>
          <w:rFonts w:hint="eastAsia"/>
          <w:color w:val="000000"/>
        </w:rPr>
        <w:t>的生态格局。</w:t>
      </w:r>
    </w:p>
    <w:p>
      <w:pPr>
        <w:ind w:firstLine="560"/>
        <w:rPr>
          <w:color w:val="000000"/>
        </w:rPr>
      </w:pPr>
      <w:r>
        <w:rPr>
          <w:rFonts w:ascii="仿宋_GB2312" w:hAnsi="仿宋_GB2312" w:eastAsia="仿宋_GB2312" w:cs="黑体"/>
          <w:color w:val="000000"/>
          <w:kern w:val="2"/>
          <w:sz w:val="32"/>
          <w:szCs w:val="22"/>
          <w:lang w:val="en-US" w:eastAsia="zh-CN" w:bidi="ar-SA"/>
        </w:rPr>
        <w:pict>
          <v:shape id="图片 1" o:spid="_x0000_s1026" type="#_x0000_t75" style="height:273.15pt;width:373.9pt;rotation:0f;" o:ole="f" fillcolor="#FFFFFF" filled="f" o:preferrelative="t" stroked="f" coordorigin="0,0" coordsize="21600,21600">
            <v:fill on="f" color2="#FFFFFF" focus="0%"/>
            <v:imagedata cropleft="24621f" croptop="7130f" cropright="1381f" cropbottom="2003f" gain="65536f" blacklevel="0f" gamma="0" o:title="" r:id="rId15"/>
            <o:lock v:ext="edit" position="f" selection="f" grouping="f" rotation="f" cropping="f" text="f" aspectratio="t"/>
            <w10:wrap type="none"/>
            <w10:anchorlock/>
          </v:shape>
        </w:pict>
      </w:r>
    </w:p>
    <w:p>
      <w:pPr>
        <w:ind w:firstLine="480"/>
        <w:jc w:val="center"/>
        <w:rPr>
          <w:color w:val="000000"/>
          <w:sz w:val="24"/>
          <w:szCs w:val="24"/>
        </w:rPr>
      </w:pPr>
      <w:r>
        <w:rPr>
          <w:rFonts w:hint="eastAsia"/>
          <w:color w:val="000000"/>
          <w:sz w:val="24"/>
          <w:szCs w:val="24"/>
        </w:rPr>
        <w:t>广元市生态空间格局图</w:t>
      </w:r>
    </w:p>
    <w:p>
      <w:pPr>
        <w:pStyle w:val="6"/>
        <w:ind w:firstLine="141"/>
        <w:rPr>
          <w:rFonts w:ascii="宋体" w:hAnsi="宋体"/>
          <w:color w:val="000000"/>
        </w:rPr>
      </w:pPr>
      <w:bookmarkStart w:id="112" w:name="_Toc118566670"/>
      <w:bookmarkStart w:id="113" w:name="_Toc118566536"/>
      <w:bookmarkStart w:id="114" w:name="_Toc118566403"/>
      <w:bookmarkStart w:id="115" w:name="_Toc118566270"/>
      <w:r>
        <w:rPr>
          <w:rFonts w:hint="eastAsia" w:ascii="宋体" w:hAnsi="宋体"/>
          <w:color w:val="000000"/>
        </w:rPr>
        <w:t>（二）构建山水林田湖草城的</w:t>
      </w:r>
      <w:r>
        <w:rPr>
          <w:rFonts w:ascii="宋体" w:hAnsi="宋体"/>
          <w:color w:val="000000"/>
        </w:rPr>
        <w:t>网络</w:t>
      </w:r>
      <w:bookmarkEnd w:id="112"/>
      <w:bookmarkEnd w:id="113"/>
      <w:bookmarkEnd w:id="114"/>
      <w:bookmarkEnd w:id="115"/>
    </w:p>
    <w:p>
      <w:pPr>
        <w:adjustRightInd w:val="0"/>
        <w:snapToGrid w:val="0"/>
        <w:ind w:firstLine="560"/>
        <w:rPr>
          <w:color w:val="000000"/>
        </w:rPr>
      </w:pPr>
      <w:r>
        <w:rPr>
          <w:rFonts w:hint="eastAsia"/>
          <w:color w:val="000000"/>
        </w:rPr>
        <w:t>构建蓝绿交织的多层次城乡生态网络，加强城市蓝绿空间融合，以城市生态环境建设统筹山水林田湖草城，构建“园中建城、城中有园”的城市生态环境格局。推动城市内的绿地、水系等绿色空间同城市周围的山体、河湖、森林、湿地、耕地有机连接，建立以山水为脉、以绿为体的生态本底绿地生态系统。以嘉陵江、南河、白龙江为牵引，基本形成蓝绿交织、开放贯通的城市整体生态空间网络，形成自然与城市互融互动的城市生态网络，塑造自然生态而富有活力的城市生态环境，提升城市绿色空间生态效能。加强中心城区和城市组团边界自然生态带建设，推进天曌山森林公园的生态廊道建设，合理布局城市内部的绿带、绿心、绿楔、绿环等结构性绿地。到</w:t>
      </w:r>
      <w:r>
        <w:rPr>
          <w:color w:val="000000"/>
        </w:rPr>
        <w:t>2025年，形成蓝道、绿道、风景道、城市</w:t>
      </w:r>
      <w:r>
        <w:rPr>
          <w:rFonts w:hint="eastAsia"/>
          <w:color w:val="000000"/>
        </w:rPr>
        <w:t>绿地和社区绿地等融合的高品质顺应自然的城市生态绿地系统，生态生活水岸占比达</w:t>
      </w:r>
      <w:r>
        <w:rPr>
          <w:color w:val="000000"/>
        </w:rPr>
        <w:t>70%。</w:t>
      </w:r>
    </w:p>
    <w:p>
      <w:pPr>
        <w:pStyle w:val="6"/>
        <w:ind w:firstLine="141"/>
        <w:rPr>
          <w:rFonts w:ascii="宋体" w:hAnsi="宋体"/>
          <w:color w:val="000000"/>
        </w:rPr>
      </w:pPr>
      <w:bookmarkStart w:id="116" w:name="_Toc118566271"/>
      <w:bookmarkStart w:id="117" w:name="_Toc118566537"/>
      <w:bookmarkStart w:id="118" w:name="_Toc118566404"/>
      <w:bookmarkStart w:id="119" w:name="_Toc118566671"/>
      <w:r>
        <w:rPr>
          <w:rFonts w:hint="eastAsia" w:ascii="宋体" w:hAnsi="宋体"/>
          <w:color w:val="000000"/>
        </w:rPr>
        <w:t>（三）加大生态保护力度，防治水土流失，改善生态环境质量</w:t>
      </w:r>
      <w:bookmarkEnd w:id="116"/>
      <w:bookmarkEnd w:id="117"/>
      <w:bookmarkEnd w:id="118"/>
      <w:bookmarkEnd w:id="119"/>
    </w:p>
    <w:p>
      <w:pPr>
        <w:adjustRightInd w:val="0"/>
        <w:snapToGrid w:val="0"/>
        <w:ind w:firstLine="560"/>
        <w:rPr>
          <w:color w:val="000000"/>
        </w:rPr>
      </w:pPr>
      <w:r>
        <w:rPr>
          <w:rFonts w:hint="eastAsia"/>
          <w:color w:val="000000"/>
        </w:rPr>
        <w:t>加强自然保护区、风景名胜区、森林公园以及湿地公园等重要生态管控区的环境综合整治力度。对污染严重的服务行业必须进行全面治理、实现达标运行，整治不达标的服务行业必须停业整改，拆除对环境影响大的各种设施；对新开发的项目必须进行科学规划、合理布局，不得建设影响环境的设施；对环境容量小的景区景点，应控制游客数量，降低对自然环境的胁迫。</w:t>
      </w:r>
    </w:p>
    <w:p>
      <w:pPr>
        <w:adjustRightInd w:val="0"/>
        <w:snapToGrid w:val="0"/>
        <w:ind w:firstLine="560"/>
        <w:rPr>
          <w:color w:val="000000"/>
        </w:rPr>
      </w:pPr>
      <w:r>
        <w:rPr>
          <w:rFonts w:hint="eastAsia"/>
          <w:color w:val="000000"/>
        </w:rPr>
        <w:t>共建蓝绿交织生态水网。构建嘉陵江绿色发展轴，</w:t>
      </w:r>
      <w:r>
        <w:rPr>
          <w:color w:val="000000"/>
        </w:rPr>
        <w:t>系统修复嘉陵江、南河、白龙江等流域自然岸线和湿地</w:t>
      </w:r>
      <w:r>
        <w:rPr>
          <w:rFonts w:hint="eastAsia"/>
          <w:color w:val="000000"/>
        </w:rPr>
        <w:t>，</w:t>
      </w:r>
      <w:r>
        <w:rPr>
          <w:color w:val="000000"/>
        </w:rPr>
        <w:t>协同建设沿江生态廊道，完善生态、补水、防洪、健身、休闲等功能。联合实施跨境河道疏浚、防洪工程建设，统筹保障河流、湖泊生态基流</w:t>
      </w:r>
      <w:r>
        <w:rPr>
          <w:rFonts w:hint="eastAsia"/>
          <w:color w:val="000000"/>
        </w:rPr>
        <w:t>，</w:t>
      </w:r>
      <w:r>
        <w:rPr>
          <w:color w:val="000000"/>
        </w:rPr>
        <w:t>积极修复、恢复河流生境，恢复提升河流、湖泊生态系统功能与质量，实施东河水体保护和西河水环境治理行动，确保“一江清水出广元”</w:t>
      </w:r>
      <w:r>
        <w:rPr>
          <w:rFonts w:hint="eastAsia"/>
          <w:color w:val="000000"/>
        </w:rPr>
        <w:t>。</w:t>
      </w:r>
    </w:p>
    <w:p>
      <w:pPr>
        <w:adjustRightInd w:val="0"/>
        <w:snapToGrid w:val="0"/>
        <w:ind w:firstLine="560"/>
        <w:rPr>
          <w:color w:val="000000"/>
        </w:rPr>
      </w:pPr>
      <w:r>
        <w:rPr>
          <w:rFonts w:hint="eastAsia"/>
          <w:color w:val="000000"/>
        </w:rPr>
        <w:t>对区内山体进行山体修复和山体保护。严格控制山体的开发建设，加快修复受损山体的生态环境，完善山体生态涵养功能，山体是城市重要的生态调节区、主要河流源头区以及水源涵养区。在山体周边地区应避免大规模的城镇开发，加强区内的绿化建设。山体整体应保持较高的森林覆盖，形成城市的天然“氧吧”，禁止破坏自然山体和植被，途经山脉的各项建设应尽量绕道建设。一方面保护现有山体不受破坏，另一方面修复受损山体生态环境，恢复山体生态功能。针对修路，开挖隧道造成的山体破坏，应该恢复山体植被覆盖，注重水体保持，防止山体滑坡的发生。针对植被覆盖少，荒芜的山体，应植树造林，发展混交林、阔叶林和竹林等，整治退化的生态景观，打造具有游憩功能的郊野公园。针对森林覆盖度高，风景观赏性好的山体，如天曌山、南山、黑石坡，保护现有林地不被破坏，通过制定具有特色的主题，结合广元文化，进行低影响的旅游开发，使其成为具有公共休闲、植物博览、郊野游憩等功能的公共开放空间。</w:t>
      </w:r>
    </w:p>
    <w:p>
      <w:pPr>
        <w:adjustRightInd w:val="0"/>
        <w:snapToGrid w:val="0"/>
        <w:ind w:firstLine="560"/>
        <w:rPr>
          <w:color w:val="000000"/>
        </w:rPr>
      </w:pPr>
      <w:r>
        <w:rPr>
          <w:rFonts w:hint="eastAsia"/>
          <w:color w:val="000000"/>
        </w:rPr>
        <w:t>加大水土流失综合治理力度，加快退耕还林还草步伐。近期在旺苍县、昭化区开展治理水土流失</w:t>
      </w:r>
      <w:r>
        <w:rPr>
          <w:color w:val="000000"/>
        </w:rPr>
        <w:t>10余万亩，青川县、苍溪县进行封山育林，进行人工植苗造林。</w:t>
      </w:r>
      <w:r>
        <w:rPr>
          <w:rFonts w:hint="eastAsia"/>
          <w:color w:val="000000"/>
        </w:rPr>
        <w:t>对</w:t>
      </w:r>
      <w:r>
        <w:rPr>
          <w:color w:val="000000"/>
        </w:rPr>
        <w:t>利</w:t>
      </w:r>
      <w:r>
        <w:rPr>
          <w:rFonts w:hint="eastAsia"/>
          <w:color w:val="000000"/>
        </w:rPr>
        <w:t>州区、旺苍县进行石漠化治理。</w:t>
      </w:r>
    </w:p>
    <w:p>
      <w:pPr>
        <w:adjustRightInd w:val="0"/>
        <w:snapToGrid w:val="0"/>
        <w:ind w:firstLine="560"/>
        <w:rPr>
          <w:color w:val="000000"/>
        </w:rPr>
      </w:pPr>
      <w:r>
        <w:rPr>
          <w:rFonts w:hint="eastAsia"/>
          <w:color w:val="000000"/>
        </w:rPr>
        <w:t>对矿山环境进行修复整治，集中在旺苍县矿山开采区，主要进行矸石山治理、矿区污水处理、改土、改水、修建堡坎、沉降区、采空区植被修复及水土保持等。</w:t>
      </w:r>
    </w:p>
    <w:p>
      <w:pPr>
        <w:adjustRightInd w:val="0"/>
        <w:snapToGrid w:val="0"/>
        <w:ind w:firstLine="560"/>
        <w:rPr>
          <w:color w:val="000000"/>
        </w:rPr>
      </w:pPr>
      <w:r>
        <w:rPr>
          <w:rFonts w:hint="eastAsia"/>
          <w:color w:val="000000"/>
        </w:rPr>
        <w:t>发展林业及农业生产新模式，加强城市林地耕地修复工程，加强城市农林业生产及矿业开采工程修复工作，严格依据“谁破坏、谁修复”的原则，严格按照土地利用总体规划中相关要求，提出农田及林地恢复措施，并开发新的农林耕种模式，降低对自然生态的破坏；严格控制矿业开采规模，减小对自然生态的破坏程度。</w:t>
      </w:r>
    </w:p>
    <w:p>
      <w:pPr>
        <w:pStyle w:val="5"/>
        <w:numPr>
          <w:ilvl w:val="0"/>
          <w:numId w:val="2"/>
        </w:numPr>
        <w:spacing w:before="190"/>
        <w:rPr>
          <w:rFonts w:ascii="宋体" w:hAnsi="宋体"/>
          <w:color w:val="000000"/>
        </w:rPr>
      </w:pPr>
      <w:bookmarkStart w:id="120" w:name="_Toc118566538"/>
      <w:bookmarkStart w:id="121" w:name="_Toc118566272"/>
      <w:bookmarkStart w:id="122" w:name="_Toc118566405"/>
      <w:bookmarkStart w:id="123" w:name="_Toc118566672"/>
      <w:bookmarkStart w:id="124" w:name="_Toc119916737"/>
      <w:r>
        <w:rPr>
          <w:rFonts w:hint="eastAsia" w:ascii="宋体" w:hAnsi="宋体"/>
          <w:color w:val="000000"/>
        </w:rPr>
        <w:t>改善修复城市生态系统</w:t>
      </w:r>
      <w:bookmarkEnd w:id="120"/>
      <w:bookmarkEnd w:id="121"/>
      <w:bookmarkEnd w:id="122"/>
      <w:bookmarkEnd w:id="123"/>
      <w:bookmarkEnd w:id="124"/>
    </w:p>
    <w:p>
      <w:pPr>
        <w:pStyle w:val="6"/>
        <w:ind w:firstLine="141"/>
        <w:rPr>
          <w:rFonts w:ascii="宋体" w:hAnsi="宋体"/>
          <w:color w:val="000000"/>
        </w:rPr>
      </w:pPr>
      <w:bookmarkStart w:id="125" w:name="_Toc118566673"/>
      <w:bookmarkStart w:id="126" w:name="_Toc118566406"/>
      <w:bookmarkStart w:id="127" w:name="_Toc118566539"/>
      <w:bookmarkStart w:id="128" w:name="_Toc118566273"/>
      <w:r>
        <w:rPr>
          <w:rFonts w:hint="eastAsia" w:ascii="宋体" w:hAnsi="宋体"/>
          <w:color w:val="000000"/>
        </w:rPr>
        <w:t>（一）保持山清水秀的城市生态本底</w:t>
      </w:r>
      <w:bookmarkEnd w:id="125"/>
      <w:bookmarkEnd w:id="126"/>
      <w:bookmarkEnd w:id="127"/>
      <w:bookmarkEnd w:id="128"/>
    </w:p>
    <w:p>
      <w:pPr>
        <w:adjustRightInd w:val="0"/>
        <w:snapToGrid w:val="0"/>
        <w:ind w:firstLine="560"/>
        <w:rPr>
          <w:color w:val="000000"/>
        </w:rPr>
      </w:pPr>
      <w:r>
        <w:rPr>
          <w:rFonts w:hint="eastAsia"/>
          <w:color w:val="000000"/>
        </w:rPr>
        <w:t>利用城市外围山水景观资源，结合城市空间结构，形成“四山、六水、五廊”的山水形态格局。</w:t>
      </w:r>
    </w:p>
    <w:p>
      <w:pPr>
        <w:adjustRightInd w:val="0"/>
        <w:snapToGrid w:val="0"/>
        <w:ind w:firstLine="560"/>
        <w:rPr>
          <w:color w:val="000000"/>
        </w:rPr>
      </w:pPr>
      <w:r>
        <w:rPr>
          <w:rFonts w:hint="eastAsia"/>
          <w:color w:val="000000"/>
        </w:rPr>
        <w:t>“四山”指城市南北两侧的天曌山、黑石坡、南山、牛头山，山体相对高差</w:t>
      </w:r>
      <w:r>
        <w:rPr>
          <w:color w:val="000000"/>
        </w:rPr>
        <w:t>150米</w:t>
      </w:r>
      <w:r>
        <w:rPr>
          <w:rFonts w:hint="eastAsia"/>
          <w:color w:val="000000"/>
        </w:rPr>
        <w:t>以上，气势宏大、沟壑纵横、资源丰富、环境优越。规划发挥自然山体的资源和区位优势，打造郊野或森林公园，作为市民提供近郊旅游目的地。</w:t>
      </w:r>
    </w:p>
    <w:p>
      <w:pPr>
        <w:adjustRightInd w:val="0"/>
        <w:snapToGrid w:val="0"/>
        <w:ind w:firstLine="560"/>
        <w:rPr>
          <w:color w:val="000000"/>
        </w:rPr>
      </w:pPr>
      <w:r>
        <w:rPr>
          <w:rFonts w:hint="eastAsia"/>
          <w:color w:val="000000"/>
        </w:rPr>
        <w:t>“六水”指嘉陵江、南河、白龙江、清江河、潜溪河、羊木河六条水系，通过滨水绿带串联多个滨江公园和湿地公园，是城市绿地系统的生态脊柱和公共生活的绿色纽带。</w:t>
      </w:r>
    </w:p>
    <w:p>
      <w:pPr>
        <w:adjustRightInd w:val="0"/>
        <w:snapToGrid w:val="0"/>
        <w:ind w:firstLine="560"/>
        <w:rPr>
          <w:color w:val="000000"/>
        </w:rPr>
      </w:pPr>
      <w:r>
        <w:rPr>
          <w:rFonts w:hint="eastAsia"/>
          <w:color w:val="000000"/>
        </w:rPr>
        <w:t>“五廊”指由生态用地形成的</w:t>
      </w:r>
      <w:r>
        <w:rPr>
          <w:color w:val="000000"/>
        </w:rPr>
        <w:t>1条东西向主要生态廊道和4条南北向次级生态廊</w:t>
      </w:r>
      <w:r>
        <w:rPr>
          <w:rFonts w:hint="eastAsia"/>
          <w:color w:val="000000"/>
        </w:rPr>
        <w:t>道，主要涉及</w:t>
      </w:r>
      <w:r>
        <w:rPr>
          <w:color w:val="000000"/>
        </w:rPr>
        <w:t>12个郊野公园，相对高差150米以内，个体规模3-5平方公里，如曾子</w:t>
      </w:r>
      <w:r>
        <w:rPr>
          <w:rFonts w:hint="eastAsia"/>
          <w:color w:val="000000"/>
        </w:rPr>
        <w:t>梁郊野公园、烟堆山郊野公园、铜叉梁郊野公园、雪峰寺郊野公园，作为便利可达的市民日常休闲空间，是各个城市组团的绿化分隔带。</w:t>
      </w:r>
    </w:p>
    <w:p>
      <w:pPr>
        <w:ind w:firstLine="560"/>
        <w:jc w:val="center"/>
        <w:rPr>
          <w:color w:val="000000"/>
        </w:rPr>
      </w:pPr>
      <w:r>
        <w:rPr>
          <w:rFonts w:ascii="仿宋_GB2312" w:hAnsi="仿宋_GB2312" w:eastAsia="仿宋_GB2312" w:cs="黑体"/>
          <w:color w:val="000000"/>
          <w:kern w:val="2"/>
          <w:sz w:val="32"/>
          <w:szCs w:val="22"/>
          <w:lang w:val="en-US" w:eastAsia="zh-CN" w:bidi="ar-SA"/>
        </w:rPr>
        <w:pict>
          <v:shape id="图片 2" o:spid="_x0000_s1027" type="#_x0000_t75" style="height:359.35pt;width:344.4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ind w:firstLine="480"/>
        <w:jc w:val="center"/>
        <w:rPr>
          <w:color w:val="000000"/>
          <w:sz w:val="24"/>
          <w:szCs w:val="24"/>
        </w:rPr>
      </w:pPr>
      <w:r>
        <w:rPr>
          <w:rFonts w:hint="eastAsia"/>
          <w:color w:val="000000"/>
          <w:sz w:val="24"/>
          <w:szCs w:val="24"/>
        </w:rPr>
        <w:t>广元市中心城区生态空间格局图</w:t>
      </w:r>
    </w:p>
    <w:p>
      <w:pPr>
        <w:pStyle w:val="6"/>
        <w:ind w:firstLine="141"/>
        <w:rPr>
          <w:rFonts w:ascii="宋体" w:hAnsi="宋体"/>
          <w:color w:val="000000"/>
        </w:rPr>
      </w:pPr>
      <w:bookmarkStart w:id="129" w:name="_Toc118566674"/>
      <w:bookmarkStart w:id="130" w:name="_Toc118566274"/>
      <w:bookmarkStart w:id="131" w:name="_Toc118566407"/>
      <w:bookmarkStart w:id="132" w:name="_Toc118566540"/>
      <w:r>
        <w:rPr>
          <w:rFonts w:hint="eastAsia" w:ascii="宋体" w:hAnsi="宋体"/>
          <w:color w:val="000000"/>
        </w:rPr>
        <w:t>（二）加强城市生态修复</w:t>
      </w:r>
      <w:bookmarkEnd w:id="129"/>
      <w:bookmarkEnd w:id="130"/>
      <w:bookmarkEnd w:id="131"/>
      <w:bookmarkEnd w:id="132"/>
    </w:p>
    <w:p>
      <w:pPr>
        <w:adjustRightInd w:val="0"/>
        <w:snapToGrid w:val="0"/>
        <w:ind w:firstLine="560"/>
        <w:rPr>
          <w:color w:val="000000"/>
        </w:rPr>
      </w:pPr>
      <w:r>
        <w:rPr>
          <w:rFonts w:hint="eastAsia"/>
          <w:color w:val="000000"/>
        </w:rPr>
        <w:t>牢固树立绿水青山就是金山银山的理念，开展城市生态环境的调查评估，对城市山体、水系、湿地、废弃地等城市空间开展摸底调查，采取自然恢复和人工修复相结合的方法，整体保护、系统修复、综合治理，逐步恢复生态系统功能。严格限制过度硬化，禁止填湖造地、截弯取直、河道硬化等破坏水生态环境的建设行为。</w:t>
      </w:r>
    </w:p>
    <w:p>
      <w:pPr>
        <w:adjustRightInd w:val="0"/>
        <w:snapToGrid w:val="0"/>
        <w:ind w:firstLine="560"/>
        <w:rPr>
          <w:color w:val="000000"/>
        </w:rPr>
      </w:pPr>
      <w:r>
        <w:rPr>
          <w:rFonts w:hint="eastAsia"/>
          <w:color w:val="000000"/>
        </w:rPr>
        <w:t>实施“两江四岸”活力岸线项目。以嘉陵江、南河“两江四岸”为主线，结合各片区城市功能，打造女皇艺术水岸、老城慢生活水岸、魅力广元展窗、城市生态绿廊、万达夜间经济水岸等滨水活力岸线，统筹河道及滨水街区、慢行交通等多维要素，实现“城水共生”。集中增加岸线公园，构建亲水宜人的绿色岸线；分层设置防汛墙，形成台台叠落，越近水越灵动的水城共融格局；激活街区和水岸，设置南河驿站，提供更多的便民服务设施，丰富岸线功能；架设跨河慢行桥梁，打造南河上特色桥梁标志景观；丰富水上活动，串联水上码头，重启水上游览观光，形成水路联动的商业综合业态，打造南河游览的品牌。</w:t>
      </w:r>
    </w:p>
    <w:p>
      <w:pPr>
        <w:adjustRightInd w:val="0"/>
        <w:snapToGrid w:val="0"/>
        <w:ind w:firstLine="560"/>
        <w:rPr>
          <w:color w:val="000000"/>
        </w:rPr>
      </w:pPr>
      <w:r>
        <w:rPr>
          <w:rFonts w:hint="eastAsia"/>
          <w:color w:val="000000"/>
        </w:rPr>
        <w:t>实施广元城西片区嘉陵江流域水环境综合治理、南河流域荣山镇段水环境综合治理项目、广元市利州区长江经济带农村面源污染治理项目，推进长江经济带生态环境突出问题整改，持续打好污染防治攻坚战，加强城镇污水垃圾处理、化工污染治理、农村面源污染治理，提高环境监管水平，全面增强环境污染综合防治能力。加强破损山体、废弃矿山、城市废弃工业用地治理，采取山体加固、场地整理等措施，消除安全隐患。在保护山体原有植被的基础上，利用生态工程技术恢复乡土植被群落。综合运用物理、化学、植物、微生物等方法进行土壤修复和改良，消除土壤污染，促进废弃地安全再利用。</w:t>
      </w:r>
    </w:p>
    <w:p>
      <w:pPr>
        <w:pStyle w:val="5"/>
        <w:numPr>
          <w:ilvl w:val="0"/>
          <w:numId w:val="2"/>
        </w:numPr>
        <w:spacing w:before="190"/>
        <w:rPr>
          <w:rFonts w:ascii="宋体" w:hAnsi="宋体"/>
          <w:color w:val="000000"/>
        </w:rPr>
      </w:pPr>
      <w:bookmarkStart w:id="133" w:name="_Toc119916738"/>
      <w:bookmarkStart w:id="134" w:name="_Toc118566275"/>
      <w:bookmarkStart w:id="135" w:name="_Toc118566675"/>
      <w:bookmarkStart w:id="136" w:name="_Toc118566541"/>
      <w:bookmarkStart w:id="137" w:name="_Toc118566408"/>
      <w:r>
        <w:rPr>
          <w:rFonts w:hint="eastAsia" w:ascii="宋体" w:hAnsi="宋体"/>
          <w:color w:val="000000"/>
        </w:rPr>
        <w:t>保护乡村山水田园系统</w:t>
      </w:r>
      <w:bookmarkEnd w:id="133"/>
      <w:bookmarkEnd w:id="134"/>
      <w:bookmarkEnd w:id="135"/>
      <w:bookmarkEnd w:id="136"/>
      <w:bookmarkEnd w:id="137"/>
    </w:p>
    <w:p>
      <w:pPr>
        <w:pStyle w:val="6"/>
        <w:ind w:firstLine="141"/>
        <w:rPr>
          <w:rFonts w:ascii="宋体" w:hAnsi="宋体"/>
          <w:color w:val="000000"/>
        </w:rPr>
      </w:pPr>
      <w:bookmarkStart w:id="138" w:name="_Toc118566542"/>
      <w:bookmarkStart w:id="139" w:name="_Toc118566409"/>
      <w:bookmarkStart w:id="140" w:name="_Toc118566676"/>
      <w:bookmarkStart w:id="141" w:name="_Toc118566276"/>
      <w:r>
        <w:rPr>
          <w:rFonts w:hint="eastAsia" w:ascii="宋体" w:hAnsi="宋体"/>
          <w:color w:val="000000"/>
        </w:rPr>
        <w:t>（一）保护和修复乡村自然生态系统</w:t>
      </w:r>
      <w:bookmarkEnd w:id="138"/>
      <w:bookmarkEnd w:id="139"/>
      <w:bookmarkEnd w:id="140"/>
      <w:bookmarkEnd w:id="141"/>
    </w:p>
    <w:p>
      <w:pPr>
        <w:adjustRightInd w:val="0"/>
        <w:snapToGrid w:val="0"/>
        <w:ind w:firstLine="560"/>
        <w:rPr>
          <w:color w:val="000000"/>
        </w:rPr>
      </w:pPr>
      <w:r>
        <w:rPr>
          <w:rFonts w:hint="eastAsia"/>
          <w:color w:val="000000"/>
        </w:rPr>
        <w:t>大力改善镇村自然生态环境</w:t>
      </w:r>
      <w:r>
        <w:rPr>
          <w:rFonts w:hint="eastAsia"/>
        </w:rPr>
        <w:t>。加强山水林田湖草一体化保护和修</w:t>
      </w:r>
      <w:r>
        <w:rPr>
          <w:rFonts w:hint="eastAsia"/>
          <w:color w:val="000000"/>
        </w:rPr>
        <w:t>复，保护小城镇的生态源地，构建小城镇生态安全格局；扎实打好农村污染治理攻坚战，开展乡村地区森林和湿地生态治理和修复。推进乡村生态环境保护修复。一方面开展美丽河湖建设，积极推广生态河塘、生态渠道，深入实施河湖库塘清淤工程，开展生态河道治理，采取各项水土保持措施，连通河湖水系，恢复河塘行蓄能力，减少入河泥沙，减轻洪涝灾害，有效控制水土流失，提高防洪抗灾能力，保护和恢复乡村河湖、湿地生态系统；另一方面推动农村面源污染治理，以土壤污染、水污染控制为重点，实施污染严重、生态脆弱耕地、水面的改种、治理、退耕行动，持续推进农业化学投入品减量和替代工作，加强重金属污染地区的种植结构调整和土壤修复，提高农业生产清洁化程度和农业环境的自我修复能力，系统治理和修复乡村生态环境和田园景观格局。</w:t>
      </w:r>
    </w:p>
    <w:p>
      <w:pPr>
        <w:adjustRightInd w:val="0"/>
        <w:snapToGrid w:val="0"/>
        <w:ind w:firstLine="560"/>
        <w:rPr>
          <w:color w:val="000000"/>
        </w:rPr>
      </w:pPr>
      <w:r>
        <w:rPr>
          <w:rFonts w:hint="eastAsia"/>
          <w:color w:val="000000"/>
        </w:rPr>
        <w:t>推进农业生产废弃物资源化利用。严格控制农业用水总量，减少化肥和农药使用量，大力推广节肥、节药、节水和清洁生产技术。大力发展种养循环农业，</w:t>
      </w:r>
      <w:r>
        <w:rPr>
          <w:color w:val="000000"/>
        </w:rPr>
        <w:t>推广农牧结合生态</w:t>
      </w:r>
      <w:r>
        <w:rPr>
          <w:rFonts w:hint="eastAsia"/>
          <w:color w:val="000000"/>
        </w:rPr>
        <w:t>治理模式。深入推进养殖、调运、屠宰环节的病死畜禽无害化处理监管。推进农作物秸秆综合利用，建立健全农田残膜回收处理体系，推广生物可降解地膜，实现农膜使用和农田残膜回收利用“减量化、资源化、无害化”。加强农药包装废弃物回收处置。</w:t>
      </w:r>
    </w:p>
    <w:p>
      <w:pPr>
        <w:pStyle w:val="6"/>
        <w:ind w:firstLine="141"/>
        <w:rPr>
          <w:rFonts w:ascii="宋体" w:hAnsi="宋体"/>
          <w:color w:val="000000"/>
        </w:rPr>
      </w:pPr>
      <w:bookmarkStart w:id="142" w:name="_Toc118566543"/>
      <w:bookmarkStart w:id="143" w:name="_Toc118566677"/>
      <w:bookmarkStart w:id="144" w:name="_Toc118566277"/>
      <w:bookmarkStart w:id="145" w:name="_Toc118566410"/>
      <w:r>
        <w:rPr>
          <w:rFonts w:hint="eastAsia" w:ascii="宋体" w:hAnsi="宋体"/>
          <w:color w:val="000000"/>
        </w:rPr>
        <w:t>（二）延续山水田园与村落相融相合空间肌理</w:t>
      </w:r>
      <w:bookmarkEnd w:id="142"/>
      <w:bookmarkEnd w:id="143"/>
      <w:bookmarkEnd w:id="144"/>
      <w:bookmarkEnd w:id="145"/>
    </w:p>
    <w:p>
      <w:pPr>
        <w:adjustRightInd w:val="0"/>
        <w:snapToGrid w:val="0"/>
        <w:ind w:firstLine="560"/>
        <w:rPr>
          <w:color w:val="000000"/>
        </w:rPr>
      </w:pPr>
      <w:r>
        <w:rPr>
          <w:rFonts w:hint="eastAsia"/>
          <w:color w:val="000000"/>
        </w:rPr>
        <w:t>大力开展乡村绿化。积极开展镇村植树造林、古树名木保护、湿地恢复等工作，科学利用房前屋后、河塘沟渠、道路两侧闲置土地搞好绿化。注重乡村绿化与庭院经济、经济林果相结合，鼓励采用乡土树种，凸显地域乡土特色。制定镇村古树名木分级保护措施，划定保护范围和责任。</w:t>
      </w:r>
    </w:p>
    <w:p>
      <w:pPr>
        <w:adjustRightInd w:val="0"/>
        <w:snapToGrid w:val="0"/>
        <w:ind w:firstLine="560"/>
        <w:rPr>
          <w:color w:val="000000"/>
        </w:rPr>
      </w:pPr>
      <w:r>
        <w:rPr>
          <w:rFonts w:hint="eastAsia"/>
          <w:color w:val="000000"/>
        </w:rPr>
        <w:t>延续乡村山水田园肌理。突出不同区域的乡土特色，进一步优化村落布局，宜聚则聚、宜散则散，保护利用好农耕文化遗产，</w:t>
      </w:r>
      <w:r>
        <w:rPr>
          <w:color w:val="000000"/>
        </w:rPr>
        <w:t>不断挖掘村落特色，继续推广“小规模、组团式、</w:t>
      </w:r>
      <w:r>
        <w:rPr>
          <w:rFonts w:hint="eastAsia"/>
          <w:color w:val="000000"/>
        </w:rPr>
        <w:t>微田园、生态化”的乡村人居环境建设模式，延续乡村山水田园与村落相融相合，以聚落为中心，田、林、山环绕，水系穿越的肌理形态，展现具有鲜明四川特色的美丽乡村。</w:t>
      </w:r>
    </w:p>
    <w:tbl>
      <w:tblPr>
        <w:tblStyle w:val="18"/>
        <w:tblW w:w="829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78" w:type="dxa"/>
          <w:right w:w="108" w:type="dxa"/>
        </w:tblCellMar>
      </w:tblPr>
      <w:tblGrid>
        <w:gridCol w:w="82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78" w:type="dxa"/>
            <w:right w:w="108" w:type="dxa"/>
          </w:tblCellMar>
        </w:tblPrEx>
        <w:trPr>
          <w:trHeight w:val="20" w:hRule="atLeast"/>
        </w:trPr>
        <w:tc>
          <w:tcPr>
            <w:tcW w:w="8299" w:type="dxa"/>
            <w:tcBorders>
              <w:top w:val="single" w:color="000000" w:sz="4" w:space="0"/>
              <w:left w:val="single" w:color="000000" w:sz="4" w:space="0"/>
              <w:bottom w:val="single" w:color="000000" w:sz="4" w:space="0"/>
              <w:right w:val="single" w:color="000000" w:sz="4" w:space="0"/>
            </w:tcBorders>
            <w:vAlign w:val="bottom"/>
          </w:tcPr>
          <w:p>
            <w:pPr>
              <w:adjustRightInd w:val="0"/>
              <w:snapToGrid w:val="0"/>
              <w:spacing w:line="240" w:lineRule="auto"/>
              <w:ind w:right="3" w:firstLine="482"/>
              <w:jc w:val="center"/>
              <w:rPr>
                <w:rFonts w:ascii="宋体" w:hAnsi="宋体"/>
                <w:b/>
                <w:color w:val="000000"/>
                <w:sz w:val="24"/>
                <w:szCs w:val="24"/>
              </w:rPr>
            </w:pPr>
            <w:r>
              <w:rPr>
                <w:rFonts w:ascii="宋体" w:hAnsi="宋体"/>
                <w:b/>
                <w:color w:val="000000"/>
                <w:sz w:val="24"/>
                <w:szCs w:val="24"/>
              </w:rPr>
              <w:t>专栏</w:t>
            </w:r>
            <w:r>
              <w:rPr>
                <w:rFonts w:ascii="宋体" w:hAnsi="宋体" w:cs="仿宋_GB2312"/>
                <w:b/>
                <w:color w:val="000000"/>
                <w:sz w:val="24"/>
                <w:szCs w:val="24"/>
              </w:rPr>
              <w:t>2-1</w:t>
            </w:r>
            <w:r>
              <w:rPr>
                <w:rFonts w:hint="eastAsia" w:ascii="宋体" w:hAnsi="宋体" w:cs="仿宋_GB2312"/>
                <w:b/>
                <w:color w:val="000000"/>
                <w:sz w:val="24"/>
                <w:szCs w:val="24"/>
              </w:rPr>
              <w:t>生态环境修复重点项目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78" w:type="dxa"/>
            <w:right w:w="108" w:type="dxa"/>
          </w:tblCellMar>
        </w:tblPrEx>
        <w:trPr>
          <w:trHeight w:val="20" w:hRule="atLeast"/>
        </w:trPr>
        <w:tc>
          <w:tcPr>
            <w:tcW w:w="8299" w:type="dxa"/>
            <w:tcBorders>
              <w:top w:val="single" w:color="000000" w:sz="4" w:space="0"/>
              <w:left w:val="single" w:color="000000" w:sz="4" w:space="0"/>
              <w:bottom w:val="single" w:color="000000" w:sz="4" w:space="0"/>
              <w:right w:val="single" w:color="000000" w:sz="4" w:space="0"/>
            </w:tcBorders>
            <w:vAlign w:val="bottom"/>
          </w:tcPr>
          <w:p>
            <w:pPr>
              <w:adjustRightInd w:val="0"/>
              <w:snapToGrid w:val="0"/>
              <w:ind w:firstLine="0" w:firstLineChars="0"/>
              <w:rPr>
                <w:rFonts w:ascii="宋体" w:hAnsi="宋体"/>
                <w:color w:val="000000"/>
                <w:sz w:val="22"/>
              </w:rPr>
            </w:pPr>
            <w:r>
              <w:rPr>
                <w:rFonts w:hint="eastAsia" w:ascii="宋体" w:hAnsi="宋体"/>
                <w:color w:val="000000"/>
                <w:sz w:val="22"/>
              </w:rPr>
              <w:t>1.“两江四岸”活力岸线项目-栖凤湖生态岸线综合提升改造项目、南河湿地公园提升改造项目、百草园景观生态修复项目、</w:t>
            </w:r>
            <w:r>
              <w:rPr>
                <w:rFonts w:hint="eastAsia" w:ascii="宋体" w:hAnsi="宋体" w:cs="宋体"/>
                <w:color w:val="000000"/>
                <w:kern w:val="0"/>
                <w:sz w:val="21"/>
                <w:szCs w:val="21"/>
                <w:lang/>
              </w:rPr>
              <w:t>市城区体育公园建设项目</w:t>
            </w:r>
            <w:r>
              <w:rPr>
                <w:rFonts w:ascii="宋体" w:hAnsi="宋体"/>
                <w:color w:val="000000"/>
                <w:sz w:val="22"/>
              </w:rPr>
              <w:t>。</w:t>
            </w:r>
          </w:p>
          <w:p>
            <w:pPr>
              <w:adjustRightInd w:val="0"/>
              <w:snapToGrid w:val="0"/>
              <w:ind w:firstLine="0" w:firstLineChars="0"/>
              <w:rPr>
                <w:rFonts w:ascii="宋体" w:hAnsi="宋体"/>
                <w:color w:val="000000"/>
              </w:rPr>
            </w:pPr>
            <w:r>
              <w:rPr>
                <w:rFonts w:hint="eastAsia" w:ascii="宋体" w:hAnsi="宋体"/>
                <w:color w:val="000000"/>
                <w:sz w:val="22"/>
              </w:rPr>
              <w:t>2.青川县乔庄河流域生态保护、剑阁县剑溪源生态治理项目、剑阁县魏家河、闻溪河、西河流域生态修复、旺苍县东河、西河水环境综合治理、恩阳河流域生态保护。</w:t>
            </w:r>
          </w:p>
        </w:tc>
      </w:tr>
    </w:tbl>
    <w:p>
      <w:pPr>
        <w:ind w:firstLine="560"/>
        <w:rPr>
          <w:color w:val="000000"/>
        </w:rPr>
      </w:pPr>
    </w:p>
    <w:p>
      <w:pPr>
        <w:pStyle w:val="4"/>
        <w:rPr>
          <w:rFonts w:ascii="宋体" w:hAnsi="宋体"/>
          <w:color w:val="000000"/>
        </w:rPr>
      </w:pPr>
      <w:bookmarkStart w:id="146" w:name="_Toc118566678"/>
      <w:bookmarkStart w:id="147" w:name="_Toc118566278"/>
      <w:bookmarkStart w:id="148" w:name="_Toc118566411"/>
      <w:bookmarkStart w:id="149" w:name="_Toc119916739"/>
      <w:bookmarkStart w:id="150" w:name="_Toc118566544"/>
      <w:r>
        <w:rPr>
          <w:rFonts w:hint="eastAsia" w:ascii="宋体" w:hAnsi="宋体"/>
          <w:color w:val="000000"/>
        </w:rPr>
        <w:t>第三章 提升城市人居环境品质</w:t>
      </w:r>
      <w:bookmarkEnd w:id="146"/>
      <w:bookmarkEnd w:id="147"/>
      <w:bookmarkEnd w:id="148"/>
      <w:bookmarkEnd w:id="149"/>
      <w:bookmarkEnd w:id="150"/>
    </w:p>
    <w:p>
      <w:pPr>
        <w:pStyle w:val="5"/>
        <w:spacing w:before="190"/>
        <w:rPr>
          <w:color w:val="000000"/>
        </w:rPr>
      </w:pPr>
      <w:bookmarkStart w:id="151" w:name="_Toc118566545"/>
      <w:bookmarkStart w:id="152" w:name="_Toc118566679"/>
      <w:bookmarkStart w:id="153" w:name="_Toc119916740"/>
      <w:bookmarkStart w:id="154" w:name="_Toc118566412"/>
      <w:bookmarkStart w:id="155" w:name="_Hlk105951581"/>
      <w:bookmarkStart w:id="156" w:name="_Toc118566279"/>
      <w:r>
        <w:rPr>
          <w:rFonts w:hint="eastAsia"/>
          <w:color w:val="000000"/>
        </w:rPr>
        <w:t>优化城乡人居环境空间格局</w:t>
      </w:r>
      <w:bookmarkEnd w:id="151"/>
      <w:bookmarkEnd w:id="152"/>
      <w:bookmarkEnd w:id="153"/>
      <w:bookmarkEnd w:id="154"/>
      <w:bookmarkEnd w:id="155"/>
      <w:bookmarkEnd w:id="156"/>
    </w:p>
    <w:p>
      <w:pPr>
        <w:pStyle w:val="6"/>
        <w:ind w:firstLine="141"/>
        <w:rPr>
          <w:rFonts w:ascii="宋体" w:hAnsi="宋体"/>
          <w:color w:val="000000"/>
        </w:rPr>
      </w:pPr>
      <w:bookmarkStart w:id="157" w:name="_Toc118566280"/>
      <w:bookmarkStart w:id="158" w:name="_Toc118566413"/>
      <w:bookmarkStart w:id="159" w:name="_Toc118566546"/>
      <w:bookmarkStart w:id="160" w:name="_Toc118566680"/>
      <w:r>
        <w:rPr>
          <w:rFonts w:hint="eastAsia" w:ascii="宋体" w:hAnsi="宋体"/>
          <w:color w:val="000000"/>
        </w:rPr>
        <w:t>（一）融入新发展格局，提升区域发展位势能级</w:t>
      </w:r>
      <w:bookmarkEnd w:id="157"/>
      <w:bookmarkEnd w:id="158"/>
      <w:bookmarkEnd w:id="159"/>
      <w:bookmarkEnd w:id="160"/>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w:t>
      </w:r>
      <w:r>
        <w:rPr>
          <w:rFonts w:hint="eastAsia" w:ascii="宋体" w:hAnsi="宋体"/>
          <w:color w:val="000000"/>
        </w:rPr>
        <w:t>主动融入成渝地</w:t>
      </w:r>
      <w:r>
        <w:rPr>
          <w:rFonts w:ascii="宋体" w:hAnsi="宋体"/>
          <w:color w:val="000000"/>
        </w:rPr>
        <w:t>区双城经济圈建设</w:t>
      </w:r>
    </w:p>
    <w:p>
      <w:pPr>
        <w:adjustRightInd w:val="0"/>
        <w:snapToGrid w:val="0"/>
        <w:ind w:firstLine="560"/>
        <w:rPr>
          <w:rFonts w:ascii="宋体" w:hAnsi="宋体"/>
          <w:color w:val="000000"/>
        </w:rPr>
      </w:pPr>
      <w:r>
        <w:rPr>
          <w:rFonts w:hint="eastAsia" w:ascii="宋体" w:hAnsi="宋体"/>
          <w:color w:val="000000"/>
        </w:rPr>
        <w:t>加快推动广巴达万铁路广巴段扩能改造，积极争取兰渝高铁、西成高铁新线规划行经广元，畅通嘉陵江水运系统，提升西北地区进入长江黄金水道、融入成渝地区发展的战略性运输通道能力水平，加快形成成渝地区北向重要门户枢纽。对接成渝地区市场需求，联动开发精品旅游线路，协同开发生态康养新产品，共建巴蜀文化旅游走廊，加快建设成渝地区高品质生态康养“后花园”。</w:t>
      </w:r>
    </w:p>
    <w:p>
      <w:pPr>
        <w:adjustRightInd w:val="0"/>
        <w:snapToGrid w:val="0"/>
        <w:ind w:firstLine="560"/>
        <w:rPr>
          <w:rFonts w:ascii="宋体" w:hAnsi="宋体"/>
          <w:color w:val="000000"/>
        </w:rPr>
      </w:pPr>
      <w:r>
        <w:rPr>
          <w:rFonts w:hint="eastAsia" w:ascii="宋体" w:hAnsi="宋体"/>
          <w:color w:val="000000"/>
        </w:rPr>
        <w:t>广泛开展与成渝地区教育、医疗、文化、人才、体育等领域的合作。加快落实与天府新区、渝北区、合川区、南川区等区域合作协议，推进与重点县区和经济开发区的联动发展。建立健全与成渝双核互动机制，积极争取共享成渝地区双城经济圈政策，促进成渝地区双城经济圈北翼振兴。</w:t>
      </w:r>
    </w:p>
    <w:p>
      <w:pPr>
        <w:pStyle w:val="7"/>
        <w:tabs>
          <w:tab w:val="left" w:pos="720"/>
        </w:tabs>
        <w:adjustRightInd w:val="0"/>
        <w:snapToGrid w:val="0"/>
        <w:rPr>
          <w:rFonts w:ascii="宋体" w:hAnsi="宋体"/>
          <w:color w:val="000000"/>
        </w:rPr>
      </w:pPr>
      <w:r>
        <w:rPr>
          <w:rFonts w:hint="eastAsia" w:ascii="宋体" w:hAnsi="宋体"/>
          <w:color w:val="000000"/>
        </w:rPr>
        <w:t>2</w:t>
      </w:r>
      <w:r>
        <w:rPr>
          <w:rFonts w:ascii="宋体" w:hAnsi="宋体"/>
          <w:color w:val="000000"/>
        </w:rPr>
        <w:t>.</w:t>
      </w:r>
      <w:r>
        <w:rPr>
          <w:rFonts w:hint="eastAsia" w:ascii="宋体" w:hAnsi="宋体"/>
          <w:color w:val="000000"/>
        </w:rPr>
        <w:t>加强与毗邻地区联动发展</w:t>
      </w:r>
    </w:p>
    <w:p>
      <w:pPr>
        <w:adjustRightInd w:val="0"/>
        <w:snapToGrid w:val="0"/>
        <w:ind w:firstLine="560"/>
        <w:rPr>
          <w:rFonts w:ascii="宋体" w:hAnsi="宋体"/>
          <w:color w:val="000000"/>
        </w:rPr>
      </w:pPr>
      <w:r>
        <w:rPr>
          <w:rFonts w:hint="eastAsia" w:ascii="宋体" w:hAnsi="宋体"/>
          <w:color w:val="000000"/>
        </w:rPr>
        <w:t>深入贯彻“一干多支、五区协同”战略，参与成德绵眉乐雅广攀经济带建设，协同建设西部最强科创走廊，增强对川西北地区的辐射力，打造创新驱动的高质量发展示范带。依托嘉陵江航道、兰渝铁路和兰海高速公路构成的铁公水联运通道，积极参与嘉陵江绿色经济走廊建设，打造嘉陵江绿色转型发展示范区。</w:t>
      </w:r>
    </w:p>
    <w:p>
      <w:pPr>
        <w:pStyle w:val="7"/>
        <w:tabs>
          <w:tab w:val="left" w:pos="720"/>
        </w:tabs>
        <w:adjustRightInd w:val="0"/>
        <w:snapToGrid w:val="0"/>
        <w:rPr>
          <w:rFonts w:ascii="宋体" w:hAnsi="宋体"/>
          <w:color w:val="000000"/>
        </w:rPr>
      </w:pPr>
      <w:r>
        <w:rPr>
          <w:rFonts w:hint="eastAsia" w:ascii="宋体" w:hAnsi="宋体"/>
          <w:color w:val="000000"/>
        </w:rPr>
        <w:t>3</w:t>
      </w:r>
      <w:r>
        <w:rPr>
          <w:rFonts w:ascii="宋体" w:hAnsi="宋体"/>
          <w:color w:val="000000"/>
        </w:rPr>
        <w:t>.</w:t>
      </w:r>
      <w:r>
        <w:rPr>
          <w:rFonts w:hint="eastAsia" w:ascii="宋体" w:hAnsi="宋体"/>
          <w:color w:val="000000"/>
        </w:rPr>
        <w:t>提升跨区域合作水平</w:t>
      </w:r>
    </w:p>
    <w:p>
      <w:pPr>
        <w:adjustRightInd w:val="0"/>
        <w:snapToGrid w:val="0"/>
        <w:ind w:firstLine="560"/>
        <w:rPr>
          <w:rFonts w:ascii="宋体" w:hAnsi="宋体"/>
          <w:color w:val="000000"/>
        </w:rPr>
      </w:pPr>
      <w:r>
        <w:rPr>
          <w:rFonts w:hint="eastAsia" w:ascii="宋体" w:hAnsi="宋体"/>
          <w:color w:val="000000"/>
        </w:rPr>
        <w:t>发挥战略腹地优势，积极融入国内大循环。深化与东部沿海地区交流互动，对接京津冀、长三角、粤港澳大湾区，加大承接产业转移力度，积极建设产业转移承接平台，大力引进资本和先进生产力，加强科技创新合作。加强与长江中游地区协作，共同推动长江经济带绿色发展。深化浙广合作，共建园区、共谋产业，打造“白茶帮扶样本”，巩固拓展劳务协作、人才交流、社会帮扶。加强与西部地区协调联动，深化与西安、兰州、乌鲁木齐、防城港等友好城市合作，持续扩大“朋友圈”。</w:t>
      </w:r>
    </w:p>
    <w:p>
      <w:pPr>
        <w:ind w:firstLine="227" w:firstLineChars="71"/>
        <w:jc w:val="center"/>
        <w:rPr>
          <w:rFonts w:ascii="宋体" w:hAnsi="宋体"/>
          <w:color w:val="000000"/>
        </w:rPr>
      </w:pPr>
      <w:r>
        <w:rPr>
          <w:rFonts w:ascii="宋体" w:hAnsi="宋体" w:eastAsia="仿宋_GB2312" w:cs="黑体"/>
          <w:color w:val="000000"/>
          <w:kern w:val="2"/>
          <w:sz w:val="32"/>
          <w:szCs w:val="22"/>
          <w:lang w:val="en-US" w:eastAsia="zh-CN" w:bidi="ar-SA"/>
        </w:rPr>
        <w:pict>
          <v:shape id="图片 3" o:spid="_x0000_s1028" type="#_x0000_t75" style="height:303.6pt;width:408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ind w:firstLine="480"/>
        <w:jc w:val="center"/>
        <w:rPr>
          <w:rFonts w:ascii="宋体" w:hAnsi="宋体"/>
          <w:color w:val="000000"/>
          <w:sz w:val="24"/>
        </w:rPr>
      </w:pPr>
      <w:r>
        <w:rPr>
          <w:rFonts w:hint="eastAsia" w:ascii="宋体" w:hAnsi="宋体"/>
          <w:color w:val="000000"/>
          <w:sz w:val="24"/>
        </w:rPr>
        <w:t>区域发展格局示意图</w:t>
      </w:r>
    </w:p>
    <w:p>
      <w:pPr>
        <w:pStyle w:val="6"/>
        <w:ind w:firstLine="141"/>
        <w:rPr>
          <w:rFonts w:ascii="宋体" w:hAnsi="宋体"/>
          <w:color w:val="000000"/>
        </w:rPr>
      </w:pPr>
      <w:bookmarkStart w:id="161" w:name="_Toc118566547"/>
      <w:bookmarkStart w:id="162" w:name="_Toc118566681"/>
      <w:bookmarkStart w:id="163" w:name="_Toc118566281"/>
      <w:bookmarkStart w:id="164" w:name="_Toc118566414"/>
      <w:r>
        <w:rPr>
          <w:rFonts w:hint="eastAsia" w:ascii="宋体" w:hAnsi="宋体"/>
          <w:color w:val="000000"/>
        </w:rPr>
        <w:t>（二）构建互联互通的城乡人居环境体系</w:t>
      </w:r>
      <w:bookmarkEnd w:id="161"/>
      <w:bookmarkEnd w:id="162"/>
      <w:bookmarkEnd w:id="163"/>
      <w:bookmarkEnd w:id="164"/>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推动城乡重大交通</w:t>
      </w:r>
      <w:r>
        <w:rPr>
          <w:rFonts w:hint="eastAsia" w:ascii="宋体" w:hAnsi="宋体"/>
          <w:color w:val="000000"/>
        </w:rPr>
        <w:t>设施互联互通</w:t>
      </w:r>
    </w:p>
    <w:p>
      <w:pPr>
        <w:adjustRightInd w:val="0"/>
        <w:snapToGrid w:val="0"/>
        <w:ind w:firstLine="560"/>
        <w:rPr>
          <w:rFonts w:ascii="宋体" w:hAnsi="宋体"/>
        </w:rPr>
      </w:pPr>
      <w:r>
        <w:rPr>
          <w:rFonts w:hint="eastAsia" w:ascii="宋体" w:hAnsi="宋体"/>
        </w:rPr>
        <w:t>加快建设全国性综合交通枢纽。加快建设京昆高速汉中至广元段扩容，畅通北向至关中平原、京津冀大通道，建成绵苍巴高速公路。增加东向通道，推动广巴达万铁路扩能改造，畅通西北地区经兰渝铁路接广巴达万铁路联系长江的铁水联运货运大通道。规划建设青剑阆高速公路，新增西向至甘肃、青海、新疆大通道。加快建设京昆高速广元至绵阳段扩容，规划建设南江经旺苍苍溪至盐亭高速公路，畅通南向融入成渝地区双城经济圈、接入至北部湾的西部陆海新通道。提档升级G108、G212等国省干线公路，完善“八纵、七横、五线”国省公路网。完成广元盘龙机场改扩建和川陕甘航油配送中心建设，新开辟航线</w:t>
      </w:r>
      <w:r>
        <w:rPr>
          <w:rFonts w:ascii="宋体" w:hAnsi="宋体"/>
        </w:rPr>
        <w:t>8条以上，旅客年吞吐量突破100万人次。推进苍溪、旺苍、剑阁、青川、朝天等通用机场建设。加快建设嘉陵江水东坝综合航电枢纽</w:t>
      </w:r>
      <w:r>
        <w:rPr>
          <w:rFonts w:hint="eastAsia" w:ascii="宋体" w:hAnsi="宋体"/>
        </w:rPr>
        <w:t>，</w:t>
      </w:r>
      <w:r>
        <w:rPr>
          <w:rFonts w:ascii="宋体" w:hAnsi="宋体"/>
        </w:rPr>
        <w:t>加快枢纽站场、集疏运通道和城市公共交通设施建设，实现各类交通方式便捷高效互联</w:t>
      </w:r>
      <w:r>
        <w:rPr>
          <w:rFonts w:hint="eastAsia" w:ascii="宋体" w:hAnsi="宋体"/>
        </w:rPr>
        <w:t>，</w:t>
      </w:r>
      <w:r>
        <w:rPr>
          <w:rFonts w:ascii="宋体" w:hAnsi="宋体"/>
        </w:rPr>
        <w:t>推动交通与现代物流融合发展。积极创建国家物流枢纽承载城市，加快建设“一港三园多中心”物流枢纽，高水平规划建设广元国际铁路港，建成广元动车运用所</w:t>
      </w:r>
      <w:r>
        <w:rPr>
          <w:rFonts w:hint="eastAsia" w:ascii="宋体" w:hAnsi="宋体"/>
        </w:rPr>
        <w:t>、高铁快运物流基地、铁路枢纽综合物流基地（中欧班列组货基地）、京昆高速七盘关超级服务区等项目。</w:t>
      </w:r>
    </w:p>
    <w:p>
      <w:pPr>
        <w:adjustRightInd w:val="0"/>
        <w:snapToGrid w:val="0"/>
        <w:ind w:firstLine="560"/>
        <w:rPr>
          <w:rFonts w:ascii="宋体" w:hAnsi="宋体"/>
          <w:color w:val="000000"/>
        </w:rPr>
      </w:pPr>
      <w:r>
        <w:rPr>
          <w:rFonts w:hint="eastAsia" w:ascii="宋体" w:hAnsi="宋体"/>
        </w:rPr>
        <w:t>到</w:t>
      </w:r>
      <w:r>
        <w:rPr>
          <w:rFonts w:hint="eastAsia" w:ascii="宋体" w:hAnsi="宋体"/>
          <w:lang/>
        </w:rPr>
        <w:t>“十四五”</w:t>
      </w:r>
      <w:r>
        <w:rPr>
          <w:rFonts w:hint="eastAsia" w:ascii="宋体" w:hAnsi="宋体"/>
        </w:rPr>
        <w:t>末</w:t>
      </w:r>
      <w:r>
        <w:rPr>
          <w:rFonts w:ascii="宋体" w:hAnsi="宋体"/>
          <w:lang/>
        </w:rPr>
        <w:t>，</w:t>
      </w:r>
      <w:r>
        <w:rPr>
          <w:rFonts w:hint="eastAsia" w:ascii="宋体" w:hAnsi="宋体"/>
        </w:rPr>
        <w:t>高速公路通车和在建里程达722公里，国省公路里程达2700公里，广元盘龙机场累计开通航线20条以上，嘉陵江常态化通航，实现县级行政中心30分钟上高速，毗邻地区主要城市2小时通达</w:t>
      </w:r>
      <w:r>
        <w:rPr>
          <w:rFonts w:ascii="宋体" w:hAnsi="宋体"/>
          <w:lang/>
        </w:rPr>
        <w:t>，通江达海、连通南北、控带西部、融入亚欧的全国性综合交通枢纽基本形成。国家物流枢纽承载城市加快建设，社会物流总额</w:t>
      </w:r>
      <w:r>
        <w:rPr>
          <w:rFonts w:hint="eastAsia" w:ascii="宋体" w:hAnsi="宋体"/>
          <w:lang/>
        </w:rPr>
        <w:t>年均</w:t>
      </w:r>
      <w:r>
        <w:rPr>
          <w:rFonts w:ascii="宋体" w:hAnsi="宋体"/>
          <w:lang/>
        </w:rPr>
        <w:t>增长</w:t>
      </w:r>
      <w:r>
        <w:rPr>
          <w:rFonts w:hint="eastAsia" w:ascii="宋体" w:hAnsi="宋体"/>
          <w:lang/>
        </w:rPr>
        <w:t>10</w:t>
      </w:r>
      <w:r>
        <w:rPr>
          <w:rFonts w:ascii="宋体" w:hAnsi="宋体"/>
          <w:lang/>
        </w:rPr>
        <w:t>%</w:t>
      </w:r>
      <w:r>
        <w:rPr>
          <w:rFonts w:hint="eastAsia" w:ascii="宋体" w:hAnsi="宋体"/>
          <w:lang/>
        </w:rPr>
        <w:t>以上</w:t>
      </w:r>
      <w:r>
        <w:rPr>
          <w:rFonts w:ascii="宋体" w:hAnsi="宋体"/>
          <w:lang/>
        </w:rPr>
        <w:t>，成渝地区北向重要门户枢纽地位进一步彰显。</w:t>
      </w:r>
    </w:p>
    <w:p>
      <w:pPr>
        <w:pStyle w:val="7"/>
        <w:tabs>
          <w:tab w:val="left" w:pos="720"/>
        </w:tabs>
        <w:adjustRightInd w:val="0"/>
        <w:snapToGrid w:val="0"/>
        <w:rPr>
          <w:rFonts w:ascii="宋体" w:hAnsi="宋体"/>
          <w:color w:val="000000"/>
        </w:rPr>
      </w:pPr>
      <w:r>
        <w:rPr>
          <w:rFonts w:hint="eastAsia" w:ascii="宋体" w:hAnsi="宋体"/>
          <w:color w:val="000000"/>
        </w:rPr>
        <w:t>2.促进</w:t>
      </w:r>
      <w:r>
        <w:rPr>
          <w:rFonts w:ascii="宋体" w:hAnsi="宋体"/>
          <w:color w:val="000000"/>
        </w:rPr>
        <w:t>城乡重大基础设施共</w:t>
      </w:r>
      <w:r>
        <w:rPr>
          <w:rFonts w:hint="eastAsia" w:ascii="宋体" w:hAnsi="宋体"/>
          <w:color w:val="000000"/>
        </w:rPr>
        <w:t>建</w:t>
      </w:r>
      <w:r>
        <w:rPr>
          <w:rFonts w:ascii="宋体" w:hAnsi="宋体"/>
          <w:color w:val="000000"/>
        </w:rPr>
        <w:t>共享</w:t>
      </w:r>
    </w:p>
    <w:p>
      <w:pPr>
        <w:adjustRightInd w:val="0"/>
        <w:snapToGrid w:val="0"/>
        <w:ind w:firstLine="560"/>
        <w:rPr>
          <w:rFonts w:hint="eastAsia" w:ascii="宋体" w:hAnsi="宋体"/>
          <w:color w:val="000000"/>
        </w:rPr>
      </w:pPr>
      <w:r>
        <w:rPr>
          <w:rFonts w:hint="eastAsia" w:ascii="宋体" w:hAnsi="宋体"/>
          <w:color w:val="000000"/>
        </w:rPr>
        <w:t>促进</w:t>
      </w:r>
      <w:r>
        <w:rPr>
          <w:rFonts w:ascii="宋体" w:hAnsi="宋体"/>
          <w:color w:val="000000"/>
        </w:rPr>
        <w:t>城乡重大基础设施共建共享</w:t>
      </w:r>
      <w:r>
        <w:rPr>
          <w:rFonts w:hint="eastAsia" w:ascii="宋体" w:hAnsi="宋体"/>
          <w:color w:val="000000"/>
        </w:rPr>
        <w:t>。</w:t>
      </w:r>
      <w:r>
        <w:rPr>
          <w:rFonts w:ascii="宋体" w:hAnsi="宋体"/>
          <w:color w:val="000000"/>
        </w:rPr>
        <w:t>切实</w:t>
      </w:r>
      <w:r>
        <w:rPr>
          <w:rFonts w:hint="eastAsia" w:ascii="宋体" w:hAnsi="宋体"/>
          <w:color w:val="000000"/>
        </w:rPr>
        <w:t>保障</w:t>
      </w:r>
      <w:r>
        <w:rPr>
          <w:rFonts w:ascii="宋体" w:hAnsi="宋体"/>
          <w:color w:val="000000"/>
        </w:rPr>
        <w:t>重点城镇基础设施的</w:t>
      </w:r>
      <w:r>
        <w:rPr>
          <w:rFonts w:hint="eastAsia" w:ascii="宋体" w:hAnsi="宋体"/>
          <w:color w:val="000000"/>
        </w:rPr>
        <w:t>投入力度</w:t>
      </w:r>
      <w:r>
        <w:rPr>
          <w:rFonts w:ascii="宋体" w:hAnsi="宋体"/>
          <w:color w:val="000000"/>
        </w:rPr>
        <w:t>。</w:t>
      </w:r>
      <w:r>
        <w:rPr>
          <w:rFonts w:hint="eastAsia" w:ascii="宋体" w:hAnsi="宋体"/>
          <w:color w:val="000000"/>
        </w:rPr>
        <w:t>确保生产生活和产业发展供水安全，</w:t>
      </w:r>
      <w:r>
        <w:rPr>
          <w:rFonts w:ascii="宋体" w:hAnsi="宋体"/>
          <w:color w:val="000000"/>
        </w:rPr>
        <w:t>推进渔洞河、雷家河等应急</w:t>
      </w:r>
      <w:r>
        <w:rPr>
          <w:rFonts w:hint="eastAsia" w:ascii="宋体" w:hAnsi="宋体"/>
          <w:color w:val="000000"/>
        </w:rPr>
        <w:t>供水工程建设，提升城市供水保障。通过大管网、大延伸，推进乡镇、农村聚居区供水工程建设，加强农村供水保障。规划建设曾家山旅游度假区供水保障工程。完善水资源监测体系建设。稳步推进农业水价综合改革，不断提高农业用水效益。加强城镇燃气管网建设。推进朝天区羊木片区、沙河片区天然气输配工程，加强旺苍县剑阁</w:t>
      </w:r>
      <w:r>
        <w:rPr>
          <w:rFonts w:ascii="宋体" w:hAnsi="宋体"/>
          <w:color w:val="000000"/>
        </w:rPr>
        <w:t>-旺苍复线、白水-尚武、嘉州路天然气中压管网建设，苍溪县燃气配套管网建设，满足辖区工业、商业、居民用气需求，完善城市燃气管网；加强城市燃气管网向乡镇延伸建设，加快朝天区大滩镇、朝天镇区域天然气输配工程，逐步实现城乡燃气设施一体化。着力推进材质老化或漏损严重城镇老旧燃气管网的升级改造，构建系统完善的城镇燃气管道网络，提高城镇燃气服务水平和管网覆盖面积。加强燃气储配设施建设，推进苍溪县川东北储气调峰项目建设，加快朝天区LNG、CNG</w:t>
      </w:r>
      <w:r>
        <w:rPr>
          <w:rFonts w:hint="eastAsia" w:ascii="宋体" w:hAnsi="宋体"/>
          <w:color w:val="000000"/>
        </w:rPr>
        <w:t>加气站项目建设，推进天然气应急调峰</w:t>
      </w:r>
      <w:r>
        <w:rPr>
          <w:rFonts w:ascii="宋体" w:hAnsi="宋体"/>
          <w:color w:val="000000"/>
        </w:rPr>
        <w:t>LNG标准站建设，提高城镇燃气调峰、应急、储备能力</w:t>
      </w:r>
      <w:r>
        <w:rPr>
          <w:rFonts w:hint="eastAsia" w:ascii="宋体" w:hAnsi="宋体"/>
          <w:color w:val="000000"/>
        </w:rPr>
        <w:t>。</w:t>
      </w:r>
    </w:p>
    <w:p>
      <w:pPr>
        <w:pStyle w:val="7"/>
        <w:tabs>
          <w:tab w:val="left" w:pos="720"/>
        </w:tabs>
        <w:adjustRightInd w:val="0"/>
        <w:snapToGrid w:val="0"/>
        <w:rPr>
          <w:rFonts w:ascii="宋体" w:hAnsi="宋体"/>
          <w:color w:val="000000"/>
        </w:rPr>
      </w:pPr>
      <w:r>
        <w:rPr>
          <w:rFonts w:ascii="宋体" w:hAnsi="宋体"/>
          <w:color w:val="000000"/>
        </w:rPr>
        <w:t>3</w:t>
      </w:r>
      <w:r>
        <w:rPr>
          <w:rFonts w:hint="eastAsia" w:ascii="宋体" w:hAnsi="宋体"/>
          <w:color w:val="000000"/>
        </w:rPr>
        <w:t>.构建</w:t>
      </w:r>
      <w:r>
        <w:rPr>
          <w:rFonts w:ascii="宋体" w:hAnsi="宋体"/>
          <w:color w:val="000000"/>
        </w:rPr>
        <w:t>联防联控的城乡防灾</w:t>
      </w:r>
      <w:r>
        <w:rPr>
          <w:rFonts w:hint="eastAsia" w:ascii="宋体" w:hAnsi="宋体"/>
          <w:color w:val="000000"/>
        </w:rPr>
        <w:t>减灾</w:t>
      </w:r>
      <w:r>
        <w:rPr>
          <w:rFonts w:ascii="宋体" w:hAnsi="宋体"/>
          <w:color w:val="000000"/>
        </w:rPr>
        <w:t>设施系统</w:t>
      </w:r>
    </w:p>
    <w:p>
      <w:pPr>
        <w:adjustRightInd w:val="0"/>
        <w:snapToGrid w:val="0"/>
        <w:ind w:firstLine="560"/>
        <w:rPr>
          <w:rFonts w:ascii="宋体" w:hAnsi="宋体"/>
          <w:color w:val="000000"/>
        </w:rPr>
      </w:pPr>
      <w:r>
        <w:rPr>
          <w:rFonts w:hint="eastAsia" w:ascii="宋体" w:hAnsi="宋体"/>
          <w:color w:val="000000"/>
        </w:rPr>
        <w:t>完善综合防灾减灾体系，提高城乡综合防灾能力。加强区域防灾减灾设施联动，统一</w:t>
      </w:r>
      <w:r>
        <w:rPr>
          <w:rFonts w:ascii="宋体" w:hAnsi="宋体"/>
          <w:color w:val="000000"/>
        </w:rPr>
        <w:t>区域灾害评估体系，共建灾害</w:t>
      </w:r>
      <w:r>
        <w:rPr>
          <w:rFonts w:hint="eastAsia" w:ascii="宋体" w:hAnsi="宋体"/>
          <w:color w:val="000000"/>
        </w:rPr>
        <w:t>预警监测体系，构建联合应急救援体系、公共卫生体系、防洪安全体系、城乡消防布局全覆盖、应急避难场所建设、应急救灾保障系统等应急设施。在加快推进新型城镇化过程中同步推进城乡防灾减灾基础设施建设，统筹推进交通、水利、通信、供水、供电、供气等基础设施的抗损毁和快速恢复保障能力建设，不断提升建筑和基础设施抗灾能力。加快推进自然灾害高风险区农村困难群众危房改造，提高农村住房抗震设防水平和抗灾能力。加强城市排水防涝设施达标建设。加强防洪减灾工程和非工程措施、水源保障工程建设，实施一</w:t>
      </w:r>
      <w:r>
        <w:rPr>
          <w:rFonts w:ascii="宋体" w:hAnsi="宋体"/>
          <w:color w:val="000000"/>
        </w:rPr>
        <w:t>批具有防洪效益的大型水库及中小型水库建设和中小河</w:t>
      </w:r>
      <w:r>
        <w:rPr>
          <w:rFonts w:hint="eastAsia" w:ascii="宋体" w:hAnsi="宋体"/>
          <w:color w:val="000000"/>
        </w:rPr>
        <w:t>流治理项目及山洪灾害治理项目的建设。</w:t>
      </w:r>
    </w:p>
    <w:p>
      <w:pPr>
        <w:adjustRightInd w:val="0"/>
        <w:snapToGrid w:val="0"/>
        <w:ind w:firstLine="560"/>
        <w:rPr>
          <w:rFonts w:ascii="宋体" w:hAnsi="宋体"/>
          <w:color w:val="000000"/>
        </w:rPr>
      </w:pPr>
      <w:r>
        <w:rPr>
          <w:rFonts w:hint="eastAsia" w:ascii="宋体" w:hAnsi="宋体"/>
          <w:color w:val="000000"/>
        </w:rPr>
        <w:t>科学</w:t>
      </w:r>
      <w:r>
        <w:rPr>
          <w:rFonts w:ascii="宋体" w:hAnsi="宋体"/>
          <w:color w:val="000000"/>
        </w:rPr>
        <w:t>编制</w:t>
      </w:r>
      <w:r>
        <w:rPr>
          <w:rFonts w:hint="eastAsia" w:ascii="宋体" w:hAnsi="宋体"/>
          <w:color w:val="000000"/>
        </w:rPr>
        <w:t>广元市</w:t>
      </w:r>
      <w:r>
        <w:rPr>
          <w:rFonts w:ascii="宋体" w:hAnsi="宋体"/>
          <w:color w:val="000000"/>
        </w:rPr>
        <w:t>防灾</w:t>
      </w:r>
      <w:r>
        <w:rPr>
          <w:rFonts w:hint="eastAsia" w:ascii="宋体" w:hAnsi="宋体"/>
          <w:color w:val="000000"/>
        </w:rPr>
        <w:t>减灾</w:t>
      </w:r>
      <w:r>
        <w:rPr>
          <w:rFonts w:ascii="宋体" w:hAnsi="宋体"/>
          <w:color w:val="000000"/>
        </w:rPr>
        <w:t>“</w:t>
      </w:r>
      <w:r>
        <w:rPr>
          <w:rFonts w:hint="eastAsia" w:ascii="宋体" w:hAnsi="宋体"/>
          <w:color w:val="000000"/>
        </w:rPr>
        <w:t>十四五</w:t>
      </w:r>
      <w:r>
        <w:rPr>
          <w:rFonts w:ascii="宋体" w:hAnsi="宋体"/>
          <w:color w:val="000000"/>
        </w:rPr>
        <w:t>”</w:t>
      </w:r>
      <w:r>
        <w:rPr>
          <w:rFonts w:hint="eastAsia" w:ascii="宋体" w:hAnsi="宋体"/>
          <w:color w:val="000000"/>
        </w:rPr>
        <w:t>规划，加强区域防灾减灾设施联动，统一区域灾害评估体系，共建灾害预警监测体系，构建联合应急救援体系、公共卫生体系、防洪安全体系、城乡消防布局全覆盖、应急避难场所建设、应急救灾保障系统等应急设施，完善综合防灾减灾体系提高城乡综合防灾能力。</w:t>
      </w:r>
    </w:p>
    <w:p>
      <w:pPr>
        <w:pStyle w:val="5"/>
        <w:numPr>
          <w:numId w:val="0"/>
        </w:numPr>
        <w:spacing w:before="190"/>
        <w:rPr>
          <w:rFonts w:ascii="宋体" w:hAnsi="宋体"/>
          <w:color w:val="000000"/>
        </w:rPr>
      </w:pPr>
      <w:bookmarkStart w:id="165" w:name="_Toc118566415"/>
      <w:bookmarkStart w:id="166" w:name="_Toc118566682"/>
      <w:bookmarkStart w:id="167" w:name="_Toc119916741"/>
      <w:bookmarkStart w:id="168" w:name="_Toc118566282"/>
      <w:bookmarkStart w:id="169" w:name="_Toc118566548"/>
      <w:r>
        <w:rPr>
          <w:rFonts w:hint="eastAsia" w:ascii="宋体" w:hAnsi="宋体"/>
          <w:color w:val="000000"/>
        </w:rPr>
        <w:t>二、推进城市高品质发展</w:t>
      </w:r>
      <w:bookmarkEnd w:id="165"/>
      <w:bookmarkEnd w:id="166"/>
      <w:bookmarkEnd w:id="167"/>
      <w:bookmarkEnd w:id="168"/>
      <w:bookmarkEnd w:id="169"/>
    </w:p>
    <w:p>
      <w:pPr>
        <w:pStyle w:val="6"/>
        <w:ind w:firstLine="141"/>
        <w:rPr>
          <w:color w:val="000000"/>
        </w:rPr>
      </w:pPr>
      <w:bookmarkStart w:id="170" w:name="_Toc118566283"/>
      <w:bookmarkStart w:id="171" w:name="_Toc118566416"/>
      <w:bookmarkStart w:id="172" w:name="_Toc118566683"/>
      <w:bookmarkStart w:id="173" w:name="_Toc118566549"/>
      <w:r>
        <w:rPr>
          <w:rFonts w:hint="eastAsia"/>
          <w:color w:val="000000"/>
        </w:rPr>
        <w:t>（一）</w:t>
      </w:r>
      <w:r>
        <w:rPr>
          <w:color w:val="000000"/>
        </w:rPr>
        <w:t>优化城市空间格局</w:t>
      </w:r>
      <w:bookmarkEnd w:id="170"/>
      <w:bookmarkEnd w:id="171"/>
      <w:bookmarkEnd w:id="172"/>
      <w:bookmarkEnd w:id="173"/>
    </w:p>
    <w:p>
      <w:pPr>
        <w:adjustRightInd w:val="0"/>
        <w:snapToGrid w:val="0"/>
        <w:ind w:firstLine="560"/>
        <w:rPr>
          <w:rFonts w:ascii="宋体" w:hAnsi="宋体"/>
          <w:color w:val="000000"/>
        </w:rPr>
      </w:pPr>
      <w:r>
        <w:rPr>
          <w:rFonts w:hint="eastAsia" w:ascii="宋体" w:hAnsi="宋体"/>
          <w:color w:val="000000"/>
        </w:rPr>
        <w:t>中心城区坚持“双核互动、两片拓展、东西一体、产城融合”的发展理念，构建以广元主城区、三江新区为核心，融合东部城区、北部城区“两核两片”一体化发展的城市空间格局，推进剑门关旅游区、曾家山旅游度假区、天曌山森林公园与中心城区相向融合发展，提升广元中国优秀旅游城市品质，夯实中国生态康养旅游名市支撑，承载区域文旅集散中心、区域消费中心、区域医疗中心、区域教育中心、区域生产服务中心、区域数据中心等功能，建设人城景业融合共生、宜居宜业宜游的川陕甘结合部现代化中心城市。</w:t>
      </w:r>
    </w:p>
    <w:p>
      <w:pPr>
        <w:adjustRightInd w:val="0"/>
        <w:snapToGrid w:val="0"/>
        <w:ind w:firstLine="560"/>
        <w:rPr>
          <w:rFonts w:ascii="宋体" w:hAnsi="宋体"/>
          <w:color w:val="000000"/>
        </w:rPr>
      </w:pPr>
      <w:r>
        <w:rPr>
          <w:rFonts w:hint="eastAsia" w:ascii="宋体" w:hAnsi="宋体"/>
          <w:color w:val="000000"/>
        </w:rPr>
        <w:t>广元主城区以推进城市有机更新、优化人居环境、加强历史文化遗存保护和利用、广元铁路港园区建设、下西组团“优二进三”为重点，重点开发大稻坝片区，推进塔山湾片区开发，建成产业集聚、生活宜居、配套完善、服务现代的城市综合服务区。三江新区以广元经济技术开发区、宝轮镇、昭化镇连片发展为重点，加快基础设施和公共服务设施建设，打造产城融合、人口集聚、高质量发展的城市核心增长极。东部城区加快大荣组团、昭化城区与主城区一体化发展，以中国西部（广元）家居产业城为重点，拓展绿色家居、食品饮料等工业发展新空间，发展温泉康养、休闲观光等产业，打造广元城市“后花园”。北部城区推进曾家山旅游度假区与广元主城区相向发展，发挥蜀道三国历史文化、生态康养资源和门户区位优势，发展文化旅游、休闲康养、商贸物流、绿色建材等产业集群，打造广元城市康养示范区。到</w:t>
      </w:r>
      <w:r>
        <w:rPr>
          <w:rFonts w:ascii="宋体" w:hAnsi="宋体"/>
          <w:color w:val="000000"/>
        </w:rPr>
        <w:t>2025年，力争中心城区建成区面积70平方公里以上、常住人口70万左右；到2035年，力争中心城区建成区面积100平方公里以上、常住人口100万以上，建成“双百城市”。持续提升中心城区的辐射带动力，推进剑阁县城向东与三江新区、旺苍县城向西与东部城区相向一体化发展，做强做优中部河谷城镇发展带。</w:t>
      </w:r>
    </w:p>
    <w:p>
      <w:pPr>
        <w:adjustRightInd w:val="0"/>
        <w:snapToGrid w:val="0"/>
        <w:ind w:firstLine="560"/>
        <w:rPr>
          <w:rFonts w:ascii="宋体" w:hAnsi="宋体"/>
          <w:color w:val="000000"/>
        </w:rPr>
      </w:pPr>
      <w:r>
        <w:rPr>
          <w:rFonts w:ascii="Times New Roman" w:hAnsi="Times New Roman" w:eastAsia="仿宋_GB2312" w:cs="黑体"/>
          <w:color w:val="000000"/>
          <w:kern w:val="2"/>
          <w:sz w:val="32"/>
          <w:szCs w:val="22"/>
          <w:lang w:val="en-US" w:eastAsia="zh-CN" w:bidi="ar-SA"/>
        </w:rPr>
        <w:pict>
          <v:shape id="图片 4" o:spid="_x0000_s1029" type="#_x0000_t75" style="height:273.8pt;width:373.3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adjustRightInd w:val="0"/>
        <w:snapToGrid w:val="0"/>
        <w:ind w:firstLine="480"/>
        <w:jc w:val="center"/>
        <w:rPr>
          <w:rFonts w:ascii="宋体" w:hAnsi="宋体"/>
          <w:color w:val="000000"/>
          <w:sz w:val="24"/>
          <w:szCs w:val="24"/>
        </w:rPr>
      </w:pPr>
      <w:r>
        <w:rPr>
          <w:rFonts w:hint="eastAsia" w:ascii="宋体" w:hAnsi="宋体"/>
          <w:color w:val="000000"/>
          <w:sz w:val="24"/>
          <w:szCs w:val="24"/>
        </w:rPr>
        <w:t>中心城区空间布局图</w:t>
      </w:r>
    </w:p>
    <w:p>
      <w:pPr>
        <w:pStyle w:val="6"/>
        <w:ind w:firstLine="141"/>
        <w:rPr>
          <w:color w:val="000000"/>
        </w:rPr>
      </w:pPr>
      <w:bookmarkStart w:id="174" w:name="_Toc118566684"/>
      <w:bookmarkStart w:id="175" w:name="_Toc118566550"/>
      <w:bookmarkStart w:id="176" w:name="_Toc118566417"/>
      <w:bookmarkStart w:id="177" w:name="_Toc118566284"/>
      <w:r>
        <w:rPr>
          <w:rFonts w:hint="eastAsia"/>
          <w:color w:val="000000"/>
        </w:rPr>
        <w:t>（二）全面提升城市品质</w:t>
      </w:r>
      <w:bookmarkEnd w:id="174"/>
      <w:bookmarkEnd w:id="175"/>
      <w:bookmarkEnd w:id="176"/>
      <w:bookmarkEnd w:id="177"/>
    </w:p>
    <w:p>
      <w:pPr>
        <w:adjustRightInd w:val="0"/>
        <w:snapToGrid w:val="0"/>
        <w:ind w:firstLine="560"/>
        <w:rPr>
          <w:color w:val="000000"/>
        </w:rPr>
      </w:pPr>
      <w:r>
        <w:rPr>
          <w:rFonts w:hint="eastAsia"/>
          <w:color w:val="000000"/>
        </w:rPr>
        <w:t>强化城市规划设计，科学编制详细规划，塑造城市特色，提高城市建设水平，完善城市功能，实施城市更新行动，打造城市新场景，改善提升人居环境质量。加快构建南河国家湿地公园、黑石坡森林康养度假区、广元康养产业示范园、武则天文化旅游区、昭化古城旅游区五大城市景区与剑门关旅游区、曾家山旅游度假区、天曌山国家森林公园三大旅游目的地互联互通的半小时生活旅游圈，打造嘉陵江、南河、白龙江、清江河沿岸滨水景观和水上游览线路，建设生态休闲公园、绿色健身廊道、城市生态绿地和光亮工程系统，形成城在景中、景在城中的生态宜居山水园林城市。</w:t>
      </w:r>
    </w:p>
    <w:p>
      <w:pPr>
        <w:adjustRightInd w:val="0"/>
        <w:snapToGrid w:val="0"/>
        <w:ind w:firstLine="560"/>
        <w:rPr>
          <w:color w:val="000000"/>
        </w:rPr>
      </w:pPr>
      <w:r>
        <w:rPr>
          <w:rFonts w:hint="eastAsia"/>
          <w:color w:val="000000"/>
        </w:rPr>
        <w:t>统筹城市布局的经济需要、生活需要、生态需要、安全需要，推进城市新型基础设施建设。建设畅通城市。规划建设城市轨道交通，优化城市路网结构，打造城市水上交通线路，形成以公交、步行和自行车为主体，多方式顺畅衔接、安全、高效、低碳的综合交通运输体系。到</w:t>
      </w:r>
      <w:r>
        <w:rPr>
          <w:color w:val="000000"/>
        </w:rPr>
        <w:t>2025年，全市建成区平均路网密度达到9公里/平方公里。</w:t>
      </w:r>
    </w:p>
    <w:p>
      <w:pPr>
        <w:adjustRightInd w:val="0"/>
        <w:snapToGrid w:val="0"/>
        <w:ind w:firstLine="560"/>
        <w:rPr>
          <w:color w:val="000000"/>
        </w:rPr>
      </w:pPr>
      <w:r>
        <w:rPr>
          <w:color w:val="000000"/>
        </w:rPr>
        <w:t>建设韧性城市。提升城市建筑灾害防御能力，完善应急基础设施，推进海绵城市建设，提高水资源集约利用安全水平，增强城市防洪排涝能力，实现城市内涝积水点全消除，增强城市储</w:t>
      </w:r>
      <w:r>
        <w:rPr>
          <w:rFonts w:hint="eastAsia"/>
          <w:color w:val="000000"/>
        </w:rPr>
        <w:t>气调峰和应急电力保障能力。</w:t>
      </w:r>
    </w:p>
    <w:p>
      <w:pPr>
        <w:adjustRightInd w:val="0"/>
        <w:snapToGrid w:val="0"/>
        <w:ind w:firstLine="560"/>
      </w:pPr>
      <w:r>
        <w:rPr>
          <w:rFonts w:hint="eastAsia"/>
          <w:color w:val="000000"/>
        </w:rPr>
        <w:t>建设森林城市、公园城市。</w:t>
      </w:r>
      <w:r>
        <w:rPr>
          <w:rFonts w:hint="eastAsia"/>
        </w:rPr>
        <w:t>重视保护城市自然山水格局，推动城市内部水系、绿地同城市外围河湖、森林、耕地形成完整生态网络，建设生态环境优美、人与自然和谐共生的美丽家园。加强城市综合公园、社区公园、湿地公园、</w:t>
      </w:r>
      <w:r>
        <w:rPr>
          <w:rFonts w:hint="eastAsia"/>
          <w:bCs/>
        </w:rPr>
        <w:t>口袋公园</w:t>
      </w:r>
      <w:r>
        <w:rPr>
          <w:rFonts w:hint="eastAsia"/>
        </w:rPr>
        <w:t>、绿色社区和绿道建设，提高南河国家湿地公园、天曌山国家森林公园、</w:t>
      </w:r>
      <w:r>
        <w:rPr>
          <w:rFonts w:hint="eastAsia"/>
          <w:bCs/>
        </w:rPr>
        <w:t>栖凤湖公园</w:t>
      </w:r>
      <w:r>
        <w:rPr>
          <w:rFonts w:hint="eastAsia"/>
        </w:rPr>
        <w:t>、凤凰山公园等功能品质，构建系统均衡、类型多样的公园景观体系，提升城区园林绿化水平和精细化管理水平，提高国家园林城市、森林城市品质。到</w:t>
      </w:r>
      <w:r>
        <w:t>2025年，全市建成区绿地率达到40%，人均公园绿地面积达到17平方米，公园绿地服务半径覆盖率达到90%。</w:t>
      </w:r>
    </w:p>
    <w:p>
      <w:pPr>
        <w:adjustRightInd w:val="0"/>
        <w:snapToGrid w:val="0"/>
        <w:ind w:firstLine="560"/>
        <w:rPr>
          <w:color w:val="000000"/>
        </w:rPr>
      </w:pPr>
      <w:r>
        <w:rPr>
          <w:color w:val="000000"/>
        </w:rPr>
        <w:t>建设人文城市。建立城市历史文化保护和传承体系，加强历史文化遗迹、历史街区及历史建筑保护和修复，强化建筑设计和城市风貌管理，建设文化休闲街区和城市滨水文化带，建成武则天文化旅游区、昭化古城度假区、黑石坡森林康养度假区、“三线记忆”工业遗址和长征红四方面军出发地纪念园，促进武则天名人文化、蜀道文化、三国历史文化、红色文化与生态文化交相辉映，提升城市文化魅力。</w:t>
      </w:r>
    </w:p>
    <w:p>
      <w:pPr>
        <w:adjustRightInd w:val="0"/>
        <w:snapToGrid w:val="0"/>
        <w:ind w:firstLine="560"/>
        <w:rPr>
          <w:color w:val="000000"/>
        </w:rPr>
      </w:pPr>
      <w:r>
        <w:rPr>
          <w:rFonts w:ascii="仿宋_GB2312" w:hAnsi="仿宋_GB2312" w:eastAsia="仿宋_GB2312" w:cs="黑体"/>
          <w:color w:val="000000"/>
          <w:kern w:val="2"/>
          <w:sz w:val="32"/>
          <w:szCs w:val="22"/>
          <w:lang w:val="en-US" w:eastAsia="zh-CN" w:bidi="ar-SA"/>
        </w:rPr>
        <w:pict>
          <v:shape id="图片 5" o:spid="_x0000_s1030" type="#_x0000_t75" style="height:322.2pt;width:415.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adjustRightInd w:val="0"/>
        <w:snapToGrid w:val="0"/>
        <w:ind w:firstLine="480"/>
        <w:jc w:val="center"/>
        <w:rPr>
          <w:color w:val="000000"/>
          <w:sz w:val="24"/>
          <w:szCs w:val="24"/>
        </w:rPr>
      </w:pPr>
      <w:r>
        <w:rPr>
          <w:rFonts w:hint="eastAsia"/>
          <w:color w:val="000000"/>
          <w:sz w:val="24"/>
          <w:szCs w:val="24"/>
        </w:rPr>
        <w:t>中心城区用地布局图</w:t>
      </w:r>
    </w:p>
    <w:p>
      <w:pPr>
        <w:pStyle w:val="6"/>
        <w:ind w:firstLine="141"/>
        <w:rPr>
          <w:color w:val="000000"/>
        </w:rPr>
      </w:pPr>
      <w:bookmarkStart w:id="178" w:name="_Toc118566685"/>
      <w:bookmarkStart w:id="179" w:name="_Toc118566418"/>
      <w:bookmarkStart w:id="180" w:name="_Toc118566285"/>
      <w:bookmarkStart w:id="181" w:name="_Toc118566551"/>
      <w:r>
        <w:rPr>
          <w:rFonts w:hint="eastAsia"/>
          <w:color w:val="000000"/>
        </w:rPr>
        <w:t>（三）不断提升县域发展水平</w:t>
      </w:r>
      <w:bookmarkEnd w:id="178"/>
      <w:bookmarkEnd w:id="179"/>
      <w:bookmarkEnd w:id="180"/>
      <w:bookmarkEnd w:id="181"/>
    </w:p>
    <w:p>
      <w:pPr>
        <w:adjustRightInd w:val="0"/>
        <w:snapToGrid w:val="0"/>
        <w:ind w:firstLine="560"/>
        <w:rPr>
          <w:rFonts w:ascii="宋体" w:hAnsi="宋体"/>
          <w:color w:val="000000"/>
        </w:rPr>
      </w:pPr>
      <w:r>
        <w:rPr>
          <w:rFonts w:hint="eastAsia" w:ascii="宋体" w:hAnsi="宋体"/>
          <w:color w:val="000000"/>
        </w:rPr>
        <w:t>实施县域经济综合考评，推进产业强县行动，统筹推进“一核一带四轴城镇”差异化、特色化发展，全力提升县域经济综合实力。推进县城扩容提质。深入开展县城城镇化补短板强弱项行动，促进公共服务设施提标扩面、环境卫生设施提级扩能、市政公用设施提档升级、产业配套设施提质增效，争创新型城镇化示范县。推动县域产业差异化、特色化发展。坚持“分类指导、突出特色，城乡融合、创新驱动，补齐短板、保障民生”的原则，赋予县区更多要素资源和自主发展空间保障。十四五期间</w:t>
      </w:r>
      <w:r>
        <w:rPr>
          <w:rFonts w:ascii="宋体" w:hAnsi="宋体"/>
          <w:color w:val="000000"/>
        </w:rPr>
        <w:t>，</w:t>
      </w:r>
      <w:r>
        <w:rPr>
          <w:rFonts w:hint="eastAsia" w:ascii="宋体" w:hAnsi="宋体"/>
          <w:color w:val="000000"/>
        </w:rPr>
        <w:t>培育地区生产总值</w:t>
      </w:r>
      <w:r>
        <w:rPr>
          <w:rFonts w:ascii="宋体" w:hAnsi="宋体"/>
          <w:color w:val="000000"/>
        </w:rPr>
        <w:t>500亿元级的县区1个，300亿元级的县区1个</w:t>
      </w:r>
      <w:r>
        <w:rPr>
          <w:rFonts w:hint="eastAsia" w:ascii="宋体" w:hAnsi="宋体"/>
          <w:color w:val="000000"/>
        </w:rPr>
        <w:t>，</w:t>
      </w:r>
      <w:r>
        <w:rPr>
          <w:rFonts w:ascii="宋体" w:hAnsi="宋体"/>
          <w:color w:val="000000"/>
        </w:rPr>
        <w:t>200亿元级的县区2个。持续加强中心镇建设。实施重点镇“六大提升工程”，推动苍溪元坝、旺苍白水、剑阁白龙、青川竹园等区位条件较好的重点镇建设县域副中心，创建省级百强中心镇5个以上。</w:t>
      </w:r>
    </w:p>
    <w:p>
      <w:pPr>
        <w:ind w:firstLine="560"/>
        <w:rPr>
          <w:rFonts w:ascii="宋体" w:hAnsi="宋体"/>
          <w:color w:val="000000"/>
        </w:rPr>
      </w:pPr>
      <w:r>
        <w:rPr>
          <w:rFonts w:ascii="宋体" w:hAnsi="宋体" w:eastAsia="仿宋_GB2312" w:cs="黑体"/>
          <w:color w:val="000000"/>
          <w:kern w:val="2"/>
          <w:sz w:val="32"/>
          <w:szCs w:val="22"/>
          <w:lang w:val="en-US" w:eastAsia="zh-CN" w:bidi="ar-SA"/>
        </w:rPr>
        <w:pict>
          <v:shape id="图片 6" o:spid="_x0000_s1031" type="#_x0000_t75" style="height:303.4pt;width:393.9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ind w:firstLine="560"/>
        <w:jc w:val="center"/>
        <w:rPr>
          <w:rFonts w:ascii="宋体" w:hAnsi="宋体"/>
          <w:color w:val="000000"/>
        </w:rPr>
      </w:pPr>
      <w:r>
        <w:rPr>
          <w:rFonts w:hint="eastAsia" w:ascii="宋体" w:hAnsi="宋体"/>
          <w:color w:val="000000"/>
        </w:rPr>
        <w:t>广元市域城镇体系图</w:t>
      </w:r>
    </w:p>
    <w:p>
      <w:pPr>
        <w:pStyle w:val="5"/>
        <w:numPr>
          <w:numId w:val="0"/>
        </w:numPr>
        <w:spacing w:before="190"/>
        <w:rPr>
          <w:rFonts w:ascii="宋体" w:hAnsi="宋体"/>
          <w:color w:val="000000"/>
        </w:rPr>
      </w:pPr>
      <w:bookmarkStart w:id="182" w:name="_Toc118566419"/>
      <w:bookmarkStart w:id="183" w:name="_Toc118566286"/>
      <w:bookmarkStart w:id="184" w:name="_Toc119916742"/>
      <w:bookmarkStart w:id="185" w:name="_Toc118566686"/>
      <w:bookmarkStart w:id="186" w:name="_Toc118566552"/>
      <w:r>
        <w:rPr>
          <w:rFonts w:hint="eastAsia" w:ascii="宋体" w:hAnsi="宋体"/>
          <w:color w:val="000000"/>
        </w:rPr>
        <w:t>三、实施</w:t>
      </w:r>
      <w:r>
        <w:rPr>
          <w:rFonts w:ascii="宋体" w:hAnsi="宋体"/>
          <w:color w:val="000000"/>
        </w:rPr>
        <w:t>城市更新行动</w:t>
      </w:r>
      <w:bookmarkEnd w:id="182"/>
      <w:bookmarkEnd w:id="183"/>
      <w:bookmarkEnd w:id="184"/>
      <w:bookmarkEnd w:id="185"/>
      <w:bookmarkEnd w:id="186"/>
    </w:p>
    <w:p>
      <w:pPr>
        <w:pStyle w:val="6"/>
        <w:ind w:firstLine="141"/>
        <w:rPr>
          <w:color w:val="000000"/>
        </w:rPr>
      </w:pPr>
      <w:r>
        <w:rPr>
          <w:rFonts w:hint="eastAsia"/>
          <w:color w:val="000000"/>
        </w:rPr>
        <w:t>（一）总体目标</w:t>
      </w:r>
    </w:p>
    <w:p>
      <w:pPr>
        <w:adjustRightInd w:val="0"/>
        <w:snapToGrid w:val="0"/>
        <w:ind w:firstLine="560"/>
        <w:rPr>
          <w:rFonts w:ascii="宋体" w:hAnsi="宋体"/>
          <w:color w:val="000000"/>
        </w:rPr>
      </w:pPr>
      <w:r>
        <w:rPr>
          <w:rFonts w:hint="eastAsia" w:ascii="宋体" w:hAnsi="宋体"/>
          <w:color w:val="000000"/>
        </w:rPr>
        <w:t>规划到</w:t>
      </w:r>
      <w:r>
        <w:rPr>
          <w:rFonts w:ascii="宋体" w:hAnsi="宋体"/>
          <w:color w:val="000000"/>
        </w:rPr>
        <w:t>2023年底，完成城市更新顶层设计，城市更新基金高效利用，完成嘉陵江南河“两江四岸”提升改造，城市更新初见成效。</w:t>
      </w:r>
      <w:r>
        <w:rPr>
          <w:rFonts w:hint="eastAsia" w:ascii="宋体" w:hAnsi="宋体"/>
          <w:color w:val="000000"/>
        </w:rPr>
        <w:t>到</w:t>
      </w:r>
      <w:r>
        <w:rPr>
          <w:rFonts w:ascii="宋体" w:hAnsi="宋体"/>
          <w:color w:val="000000"/>
        </w:rPr>
        <w:t>2025年底，完成老城片区城市更新，东坝、南河等更新单元加快推进。改造老旧小区549个、老旧街区135条、老旧厂区6个、城中村4个，主城区承载能力和城市品质显著提升，群众住条件和居住环境持续改善，城市业态活力充分展现。</w:t>
      </w:r>
    </w:p>
    <w:p>
      <w:pPr>
        <w:pStyle w:val="6"/>
        <w:ind w:firstLine="141"/>
        <w:rPr>
          <w:color w:val="000000"/>
        </w:rPr>
      </w:pPr>
      <w:r>
        <w:rPr>
          <w:rFonts w:hint="eastAsia"/>
          <w:color w:val="000000"/>
        </w:rPr>
        <w:t>（二）更新思路</w:t>
      </w:r>
    </w:p>
    <w:p>
      <w:pPr>
        <w:adjustRightInd w:val="0"/>
        <w:snapToGrid w:val="0"/>
        <w:ind w:firstLine="560"/>
      </w:pPr>
      <w:r>
        <w:rPr>
          <w:rFonts w:hint="eastAsia"/>
        </w:rPr>
        <w:t>按照“规划先行、政策引导、项目支撑、统筹推进”工作策略，将主城区划分为</w:t>
      </w:r>
      <w:r>
        <w:t>6个更新片区，明确片区功能优化和环境品质提升目标，由市区两级统筹实施。坚持全域推进、重点突破，集中人力物力财力优先启动“两江四岸”和嘉陵片区更新，做到“整治一片、规范一片、美化一片”</w:t>
      </w:r>
      <w:r>
        <w:rPr>
          <w:rFonts w:hint="eastAsia"/>
        </w:rPr>
        <w:t>。</w:t>
      </w:r>
    </w:p>
    <w:p>
      <w:pPr>
        <w:pStyle w:val="6"/>
        <w:ind w:firstLine="141"/>
        <w:rPr>
          <w:color w:val="000000"/>
        </w:rPr>
      </w:pPr>
      <w:r>
        <w:rPr>
          <w:rFonts w:hint="eastAsia"/>
          <w:color w:val="000000"/>
        </w:rPr>
        <w:t>（三）重点任务</w:t>
      </w:r>
    </w:p>
    <w:p>
      <w:pPr>
        <w:pStyle w:val="7"/>
        <w:tabs>
          <w:tab w:val="left" w:pos="720"/>
        </w:tabs>
        <w:adjustRightInd w:val="0"/>
        <w:snapToGrid w:val="0"/>
        <w:rPr>
          <w:rFonts w:ascii="宋体" w:hAnsi="宋体"/>
          <w:color w:val="000000"/>
        </w:rPr>
      </w:pPr>
      <w:bookmarkStart w:id="187" w:name="_Toc118566287"/>
      <w:bookmarkStart w:id="188" w:name="_Toc118566687"/>
      <w:bookmarkStart w:id="189" w:name="_Toc118566420"/>
      <w:bookmarkStart w:id="190" w:name="_Toc118566553"/>
      <w:r>
        <w:rPr>
          <w:rFonts w:hint="eastAsia" w:ascii="宋体" w:hAnsi="宋体"/>
          <w:color w:val="000000"/>
        </w:rPr>
        <w:t>1</w:t>
      </w:r>
      <w:r>
        <w:rPr>
          <w:rFonts w:ascii="宋体" w:hAnsi="宋体"/>
          <w:color w:val="000000"/>
        </w:rPr>
        <w:t>.</w:t>
      </w:r>
      <w:bookmarkEnd w:id="187"/>
      <w:bookmarkEnd w:id="188"/>
      <w:bookmarkEnd w:id="189"/>
      <w:bookmarkEnd w:id="190"/>
      <w:r>
        <w:rPr>
          <w:rFonts w:hint="eastAsia" w:ascii="宋体" w:hAnsi="宋体"/>
          <w:color w:val="000000"/>
        </w:rPr>
        <w:t>补齐基础设施短板</w:t>
      </w:r>
    </w:p>
    <w:p>
      <w:pPr>
        <w:adjustRightInd w:val="0"/>
        <w:snapToGrid w:val="0"/>
        <w:ind w:firstLine="560"/>
        <w:rPr>
          <w:rFonts w:ascii="宋体" w:hAnsi="宋体"/>
          <w:color w:val="000000"/>
        </w:rPr>
      </w:pPr>
      <w:r>
        <w:rPr>
          <w:rFonts w:hint="eastAsia" w:ascii="宋体" w:hAnsi="宋体"/>
          <w:color w:val="000000"/>
        </w:rPr>
        <w:t>优化交通路网体系。优化城市路网结构，有序推进北二环东延线、下西大道、西二环延伸段等项目，加快构建“五横十纵”的中心城区骨干交通网络。实施一环路、利州东路、电子路、蜀门南北路等交通节点改造工程，打通科创路至利州东路段、柳林路、</w:t>
      </w:r>
      <w:r>
        <w:rPr>
          <w:rFonts w:ascii="宋体" w:hAnsi="宋体"/>
          <w:color w:val="000000"/>
        </w:rPr>
        <w:t>081铁路道口等铁路沿线通道，疏通劳动大厦、老鹰嘴大桥、蜀门大桥及转盘、建设路－蜀门北路等瓶颈路段，提高车行效率。</w:t>
      </w:r>
    </w:p>
    <w:p>
      <w:pPr>
        <w:adjustRightInd w:val="0"/>
        <w:snapToGrid w:val="0"/>
        <w:ind w:firstLine="560"/>
        <w:rPr>
          <w:rFonts w:hint="eastAsia" w:ascii="宋体" w:hAnsi="宋体"/>
          <w:color w:val="000000"/>
        </w:rPr>
      </w:pPr>
      <w:r>
        <w:rPr>
          <w:rFonts w:hint="eastAsia" w:ascii="宋体" w:hAnsi="宋体"/>
          <w:color w:val="000000"/>
        </w:rPr>
        <w:t>因地制宜确定入廊管线。坚持先地下、后地上的原则，以城市新区、城市更新区域为重点，新建主干道路优先考虑建设综合管廊，将22万伏以下电路、各种通讯管线和给排水管道纳入综合管廊，有序推进干线管廊、支线管廊和缆线管廊有机衔接。探索建立地下管线综合管理信息系统，建立入廊管线付费使用机制，消除空中“蜘蛛网”，减少“马路拉链”和管线事故。</w:t>
      </w:r>
    </w:p>
    <w:p>
      <w:pPr>
        <w:adjustRightInd w:val="0"/>
        <w:snapToGrid w:val="0"/>
        <w:ind w:firstLine="560"/>
        <w:rPr>
          <w:rFonts w:ascii="宋体" w:hAnsi="宋体"/>
          <w:color w:val="000000"/>
        </w:rPr>
      </w:pPr>
      <w:r>
        <w:rPr>
          <w:rFonts w:ascii="宋体" w:hAnsi="宋体"/>
          <w:color w:val="000000"/>
        </w:rPr>
        <w:t>加大停车供给</w:t>
      </w:r>
      <w:r>
        <w:rPr>
          <w:rFonts w:hint="eastAsia" w:ascii="宋体" w:hAnsi="宋体"/>
          <w:color w:val="000000"/>
        </w:rPr>
        <w:t>。积极构建“窄马路、密路网、微循环”的城市路网体系，以配建停车场为主、路外公共停车场为辅、路内停车为补充的停车设施体系。全面普查停车资源、车位车库信息，加快凤凰山入口广场、南河金域香江等停车场建设，因地制宜增设立体停车场，提高停车场覆盖率。完善城市级智慧停车管理系统，整合路内、路外泊位资源，鼓励机关、企事业单位停车场对外开放，引导用户“停车入位”，营造智慧、有序、便捷的停车环境</w:t>
      </w:r>
      <w:r>
        <w:rPr>
          <w:rFonts w:ascii="宋体" w:hAnsi="宋体"/>
          <w:color w:val="000000"/>
        </w:rPr>
        <w:t>。</w:t>
      </w:r>
    </w:p>
    <w:p>
      <w:pPr>
        <w:pStyle w:val="7"/>
        <w:tabs>
          <w:tab w:val="left" w:pos="720"/>
        </w:tabs>
        <w:adjustRightInd w:val="0"/>
        <w:snapToGrid w:val="0"/>
        <w:rPr>
          <w:rFonts w:hint="eastAsia" w:ascii="宋体" w:hAnsi="宋体"/>
          <w:color w:val="000000"/>
        </w:rPr>
      </w:pPr>
      <w:r>
        <w:rPr>
          <w:rFonts w:hint="eastAsia" w:ascii="宋体" w:hAnsi="宋体"/>
          <w:color w:val="000000"/>
        </w:rPr>
        <w:t>2.完善公共服务设施</w:t>
      </w:r>
    </w:p>
    <w:p>
      <w:pPr>
        <w:adjustRightInd w:val="0"/>
        <w:snapToGrid w:val="0"/>
        <w:ind w:firstLine="560"/>
      </w:pPr>
      <w:r>
        <w:t>补齐学前教育设施。合理布局普惠性民办幼儿园，增加公办幼儿园，支持利用存量低效用地和商业服务用地新建幼儿园，鼓励将老旧小区中的国企房屋和设施以适当方式集中改造用于发展学前教育或托育服务。到2025年，普惠性幼儿园覆盖率达到88%以上，普惠托育服务比例达到60%。</w:t>
      </w:r>
    </w:p>
    <w:p>
      <w:pPr>
        <w:adjustRightInd w:val="0"/>
        <w:snapToGrid w:val="0"/>
        <w:ind w:firstLine="560"/>
        <w:rPr>
          <w:rFonts w:hint="eastAsia"/>
        </w:rPr>
      </w:pPr>
      <w:r>
        <w:rPr>
          <w:rFonts w:hint="eastAsia"/>
        </w:rPr>
        <w:t>补齐社区养老设施。</w:t>
      </w:r>
      <w:r>
        <w:t>整合公共用房、机关和企事业单位闲置办公用房以及闲置的厂房、学校、医院、宾馆等资源，调整为社区居家养老服务用房集中改造利用。清理整合</w:t>
      </w:r>
      <w:r>
        <w:rPr>
          <w:rFonts w:hint="eastAsia"/>
        </w:rPr>
        <w:t>老旧</w:t>
      </w:r>
      <w:r>
        <w:t>小区内各类闲置和低效使用的公共房屋和设施，</w:t>
      </w:r>
      <w:r>
        <w:rPr>
          <w:rFonts w:hint="eastAsia"/>
        </w:rPr>
        <w:t>用于建立完善老年日间照料中心等养老设施。到2025年，“15分钟居家养老服务圈”逐步完善，日间照料机构覆盖率达到100%。</w:t>
      </w:r>
    </w:p>
    <w:p>
      <w:pPr>
        <w:adjustRightInd w:val="0"/>
        <w:snapToGrid w:val="0"/>
        <w:ind w:firstLine="560"/>
        <w:rPr>
          <w:rFonts w:hint="eastAsia"/>
        </w:rPr>
      </w:pPr>
      <w:r>
        <w:rPr>
          <w:rFonts w:hint="eastAsia"/>
        </w:rPr>
        <w:t>提升公共服务水平。在主城区城市商圈、交通枢纽、A级景区等区域，创新打造一批融合图书阅读、艺术展览、休闲轻食等服务的城市书房、文化驿站等新型公共文化空间。大力</w:t>
      </w:r>
      <w:r>
        <w:t>发展公共体育设施，因地制宜建设体育公园、健身步道、社会足球场地</w:t>
      </w:r>
      <w:r>
        <w:rPr>
          <w:rFonts w:hint="eastAsia"/>
        </w:rPr>
        <w:t>等设施。</w:t>
      </w:r>
      <w:r>
        <w:t>健全城市文化体育设施共享机制</w:t>
      </w:r>
      <w:r>
        <w:rPr>
          <w:rFonts w:hint="eastAsia"/>
        </w:rPr>
        <w:t>，实行错时延时开放，提升图书馆、博物馆、学校体育场等公共文化服务场所旅游服务功能。</w:t>
      </w:r>
    </w:p>
    <w:p>
      <w:pPr>
        <w:adjustRightInd w:val="0"/>
        <w:snapToGrid w:val="0"/>
        <w:ind w:firstLine="560"/>
        <w:rPr>
          <w:rFonts w:hint="eastAsia"/>
        </w:rPr>
      </w:pPr>
      <w:r>
        <w:rPr>
          <w:rFonts w:hint="eastAsia"/>
        </w:rPr>
        <w:t>提升便民社会化服务水平。优化菜市场规划布局，充分利用老旧小区内边角地、插花地配建生鲜超市、菜店。推进便民商业设施进社区，打通“最后一公里”。采取“一店多能”、服务叠加等方式发展微利业态。到2025年，中心城区菜市场服务覆盖范围达95%以上。</w:t>
      </w:r>
    </w:p>
    <w:p>
      <w:pPr>
        <w:pStyle w:val="7"/>
        <w:tabs>
          <w:tab w:val="left" w:pos="720"/>
        </w:tabs>
        <w:adjustRightInd w:val="0"/>
        <w:snapToGrid w:val="0"/>
        <w:rPr>
          <w:rFonts w:ascii="宋体" w:hAnsi="宋体"/>
          <w:color w:val="000000"/>
        </w:rPr>
      </w:pPr>
      <w:r>
        <w:rPr>
          <w:rFonts w:hint="eastAsia" w:ascii="宋体" w:hAnsi="宋体"/>
          <w:color w:val="000000"/>
        </w:rPr>
        <w:t>3.加快“三旧一老”改造</w:t>
      </w:r>
    </w:p>
    <w:p>
      <w:pPr>
        <w:adjustRightInd w:val="0"/>
        <w:snapToGrid w:val="0"/>
        <w:ind w:firstLine="560"/>
        <w:rPr>
          <w:rFonts w:ascii="宋体" w:hAnsi="宋体"/>
          <w:color w:val="000000"/>
        </w:rPr>
      </w:pPr>
      <w:bookmarkStart w:id="191" w:name="_Toc118566688"/>
      <w:bookmarkStart w:id="192" w:name="_Toc118566288"/>
      <w:bookmarkStart w:id="193" w:name="_Toc118566554"/>
      <w:bookmarkStart w:id="194" w:name="_Toc118566421"/>
      <w:r>
        <w:rPr>
          <w:rFonts w:hint="eastAsia" w:ascii="宋体" w:hAnsi="宋体"/>
          <w:color w:val="000000"/>
        </w:rPr>
        <w:t>分类推进老旧小区改造。围绕“改造一片、治理一片”的目标，配建停车场、休闲活动广场、园林景观等基础设施，推动电梯增设、养老托幼、无障碍环境等“一老一小”服务设施建设。推进相邻小区及周边地区整体设计、连片改造、联动治理，统筹完善商业网点、卫生服务、文化娱乐、体育健身等各类设施，打造“</w:t>
      </w:r>
      <w:r>
        <w:rPr>
          <w:rFonts w:ascii="宋体" w:hAnsi="宋体"/>
          <w:color w:val="000000"/>
        </w:rPr>
        <w:t>15分钟便民生活圈”，建设完整居住社区。到2025年，基本完成主城区2000年底前建成的363个城镇老旧小区改造。</w:t>
      </w:r>
    </w:p>
    <w:p>
      <w:pPr>
        <w:adjustRightInd w:val="0"/>
        <w:snapToGrid w:val="0"/>
        <w:ind w:firstLine="560"/>
        <w:rPr>
          <w:rFonts w:ascii="宋体" w:hAnsi="宋体"/>
          <w:color w:val="000000"/>
        </w:rPr>
      </w:pPr>
      <w:r>
        <w:rPr>
          <w:rFonts w:hint="eastAsia" w:ascii="宋体" w:hAnsi="宋体"/>
          <w:color w:val="000000"/>
        </w:rPr>
        <w:t>因地制宜推进城中村改造。按照“政府主导、市场运作、统筹规划、群众自愿”原则，综合考虑各城中村的基础条件、区位特点、优势短板等因素，开展抗震鉴定及加固改造，采取拆除新建、改建、综合整治等多种方法，有序稳步推进城中村改造和基础配套设施建设。探索出台居民自主改造、货币补偿和房屋产权调换等配套政策，提升居民生活品质，盘活城市优质资源。</w:t>
      </w:r>
    </w:p>
    <w:bookmarkEnd w:id="191"/>
    <w:bookmarkEnd w:id="192"/>
    <w:bookmarkEnd w:id="193"/>
    <w:bookmarkEnd w:id="194"/>
    <w:p>
      <w:pPr>
        <w:pStyle w:val="7"/>
        <w:tabs>
          <w:tab w:val="left" w:pos="720"/>
        </w:tabs>
        <w:adjustRightInd w:val="0"/>
        <w:snapToGrid w:val="0"/>
        <w:rPr>
          <w:rFonts w:ascii="宋体" w:hAnsi="宋体"/>
          <w:color w:val="000000"/>
        </w:rPr>
      </w:pPr>
      <w:r>
        <w:rPr>
          <w:rFonts w:ascii="宋体" w:hAnsi="宋体"/>
          <w:color w:val="000000"/>
        </w:rPr>
        <w:t>4.加强市容环境整治</w:t>
      </w:r>
    </w:p>
    <w:p>
      <w:pPr>
        <w:adjustRightInd w:val="0"/>
        <w:snapToGrid w:val="0"/>
        <w:ind w:firstLine="560"/>
        <w:rPr>
          <w:rFonts w:ascii="宋体" w:hAnsi="宋体"/>
          <w:color w:val="000000"/>
        </w:rPr>
      </w:pPr>
      <w:r>
        <w:rPr>
          <w:rFonts w:hint="eastAsia" w:ascii="宋体" w:hAnsi="宋体"/>
          <w:color w:val="000000"/>
        </w:rPr>
        <w:t>全面规范户外广告。按照“统筹规划、拆改结合、规范设置、严格管理”的总体要求，对沿街破损、老旧门店招牌进行更新改造，拆除破损、存在安全隐患或严重影响市容市貌的广告牌匾，统一门店招牌样式设计，提升沿街城市形象。集中治理违法广告，维护城市天际线、道路景观线。</w:t>
      </w:r>
    </w:p>
    <w:p>
      <w:pPr>
        <w:adjustRightInd w:val="0"/>
        <w:snapToGrid w:val="0"/>
        <w:ind w:firstLine="560"/>
        <w:rPr>
          <w:rFonts w:ascii="宋体" w:hAnsi="宋体"/>
          <w:color w:val="000000"/>
        </w:rPr>
      </w:pPr>
      <w:r>
        <w:rPr>
          <w:rFonts w:hint="eastAsia" w:ascii="宋体" w:hAnsi="宋体"/>
          <w:color w:val="000000"/>
        </w:rPr>
        <w:t>提升街景立面品质。在保留城市特有的地域环境、文化特色、建筑风格的基础上，结合片区更新规划确定城市建筑主色调，全面开展公共空间的立面品质和特色景观提升，形成建筑特色鲜明、宜居雅致的城市街区立面景观，展示广元城市景观独特魅力。</w:t>
      </w:r>
    </w:p>
    <w:p>
      <w:pPr>
        <w:adjustRightInd w:val="0"/>
        <w:snapToGrid w:val="0"/>
        <w:ind w:firstLine="560"/>
        <w:rPr>
          <w:rFonts w:ascii="宋体" w:hAnsi="宋体"/>
          <w:color w:val="000000"/>
        </w:rPr>
      </w:pPr>
      <w:r>
        <w:rPr>
          <w:rFonts w:hint="eastAsia" w:ascii="宋体" w:hAnsi="宋体"/>
          <w:color w:val="000000"/>
        </w:rPr>
        <w:t>全面推进城市生活垃圾分类处理。结合全国生活垃圾分类示范城市建设，完善垃圾分类治理工作机制，加强源头分类投放指导，逐步固化群众分类意识。完善分类收运机制，规范可回收物、有害垃圾收运行为，加快形成“分类投放、分类运输、分类处理”的闭环链条。按照分类投放、分类收集、分类运输、分类处理要求，加强城市生活垃圾处理设施建设，全面提高城市垃圾无害化处理水平，到</w:t>
      </w:r>
      <w:r>
        <w:rPr>
          <w:rFonts w:ascii="宋体" w:hAnsi="宋体"/>
          <w:color w:val="000000"/>
        </w:rPr>
        <w:t>2025 年，城市生活垃圾回收利用率达到40%以上。</w:t>
      </w:r>
    </w:p>
    <w:p>
      <w:pPr>
        <w:pStyle w:val="7"/>
        <w:tabs>
          <w:tab w:val="left" w:pos="720"/>
        </w:tabs>
        <w:adjustRightInd w:val="0"/>
        <w:snapToGrid w:val="0"/>
        <w:rPr>
          <w:rFonts w:hint="eastAsia" w:ascii="宋体" w:hAnsi="宋体"/>
          <w:color w:val="000000"/>
        </w:rPr>
      </w:pPr>
      <w:r>
        <w:rPr>
          <w:rFonts w:ascii="宋体" w:hAnsi="宋体"/>
          <w:color w:val="000000"/>
        </w:rPr>
        <w:t>5.提升城市光亮水平</w:t>
      </w:r>
    </w:p>
    <w:p>
      <w:pPr>
        <w:adjustRightInd w:val="0"/>
        <w:snapToGrid w:val="0"/>
        <w:ind w:firstLine="560"/>
        <w:rPr>
          <w:rFonts w:ascii="宋体" w:hAnsi="宋体"/>
          <w:color w:val="000000"/>
        </w:rPr>
      </w:pPr>
      <w:r>
        <w:rPr>
          <w:rFonts w:ascii="宋体" w:hAnsi="宋体"/>
          <w:color w:val="000000"/>
        </w:rPr>
        <w:t>加快城市照明远程控制终端安装，实现城市光亮照明设施“一键亮灯”。有序推进城市主要街道、公园广场、公共建筑、河道实施亮化工程，扮靓城市景观，促进夜间经济发展，增强群众幸福感获得感。按照“集约节约、简约大气”的原则，分区设计、动静结合，做到功能性照明和景观性亮化协调合理，在重要路段、重要区域打造有特色、有看点的景观节点。发挥“两江四岸”景观引擎作用，构建沿嘉陵江、南河岸线夜景灯光体系，融入本地文化特点，打造独有的城市IP。</w:t>
      </w:r>
    </w:p>
    <w:p>
      <w:pPr>
        <w:pStyle w:val="7"/>
        <w:tabs>
          <w:tab w:val="left" w:pos="720"/>
        </w:tabs>
        <w:adjustRightInd w:val="0"/>
        <w:snapToGrid w:val="0"/>
        <w:rPr>
          <w:rFonts w:hint="eastAsia" w:ascii="宋体" w:hAnsi="宋体"/>
          <w:color w:val="000000"/>
        </w:rPr>
      </w:pPr>
      <w:r>
        <w:rPr>
          <w:rFonts w:ascii="宋体" w:hAnsi="宋体"/>
          <w:color w:val="000000"/>
        </w:rPr>
        <w:t>6</w:t>
      </w:r>
      <w:r>
        <w:rPr>
          <w:rFonts w:hint="eastAsia" w:ascii="宋体" w:hAnsi="宋体"/>
          <w:color w:val="000000"/>
        </w:rPr>
        <w:t>.强化风貌保护提升</w:t>
      </w:r>
    </w:p>
    <w:p>
      <w:pPr>
        <w:adjustRightInd w:val="0"/>
        <w:snapToGrid w:val="0"/>
        <w:ind w:firstLine="560"/>
        <w:rPr>
          <w:rFonts w:hint="eastAsia" w:ascii="宋体" w:hAnsi="宋体"/>
          <w:color w:val="000000"/>
        </w:rPr>
      </w:pPr>
      <w:r>
        <w:rPr>
          <w:rFonts w:hint="eastAsia" w:ascii="宋体" w:hAnsi="宋体"/>
          <w:color w:val="000000"/>
        </w:rPr>
        <w:t>加强历史建筑风貌保护。深化历史建筑全域普查认定，加强历史建筑挂牌保护及测绘建档。持续推进历史建筑保护利用，以“重现风貌、重塑功能”为原则，支持和鼓励在保持外观风貌、典型构件基础上，赋予历史建筑当代功能，推进历史建筑功能置换和更新改造，与城市和城区生活有机融合，以用促保活化利用。</w:t>
      </w:r>
    </w:p>
    <w:p>
      <w:pPr>
        <w:adjustRightInd w:val="0"/>
        <w:snapToGrid w:val="0"/>
        <w:ind w:firstLine="560"/>
        <w:rPr>
          <w:rFonts w:ascii="宋体" w:hAnsi="宋体"/>
          <w:color w:val="000000"/>
        </w:rPr>
      </w:pPr>
      <w:r>
        <w:rPr>
          <w:rFonts w:ascii="宋体" w:hAnsi="宋体"/>
          <w:color w:val="000000"/>
        </w:rPr>
        <w:t>保护</w:t>
      </w:r>
      <w:r>
        <w:rPr>
          <w:rFonts w:hint="eastAsia" w:ascii="宋体" w:hAnsi="宋体"/>
          <w:color w:val="000000"/>
        </w:rPr>
        <w:t>和复兴</w:t>
      </w:r>
      <w:r>
        <w:rPr>
          <w:rFonts w:ascii="宋体" w:hAnsi="宋体"/>
          <w:color w:val="000000"/>
        </w:rPr>
        <w:t>历史街区。</w:t>
      </w:r>
      <w:r>
        <w:rPr>
          <w:rFonts w:hint="eastAsia" w:ascii="宋体" w:hAnsi="宋体"/>
          <w:color w:val="000000"/>
        </w:rPr>
        <w:t>在保护老城城市肌理的基础上，综合开展</w:t>
      </w:r>
      <w:r>
        <w:rPr>
          <w:rFonts w:ascii="宋体" w:hAnsi="宋体"/>
          <w:color w:val="000000"/>
        </w:rPr>
        <w:t>沿街立面风貌整治</w:t>
      </w:r>
      <w:r>
        <w:rPr>
          <w:rFonts w:hint="eastAsia" w:ascii="宋体" w:hAnsi="宋体"/>
          <w:color w:val="000000"/>
        </w:rPr>
        <w:t>、</w:t>
      </w:r>
      <w:r>
        <w:rPr>
          <w:rFonts w:ascii="宋体" w:hAnsi="宋体"/>
          <w:color w:val="000000"/>
        </w:rPr>
        <w:t>建筑加固修缮</w:t>
      </w:r>
      <w:r>
        <w:rPr>
          <w:rFonts w:hint="eastAsia" w:ascii="宋体" w:hAnsi="宋体"/>
          <w:color w:val="000000"/>
        </w:rPr>
        <w:t>、历史</w:t>
      </w:r>
      <w:r>
        <w:rPr>
          <w:rFonts w:ascii="宋体" w:hAnsi="宋体"/>
          <w:color w:val="000000"/>
        </w:rPr>
        <w:t>文化</w:t>
      </w:r>
      <w:r>
        <w:rPr>
          <w:rFonts w:hint="eastAsia" w:ascii="宋体" w:hAnsi="宋体"/>
          <w:color w:val="000000"/>
        </w:rPr>
        <w:t>挖掘、</w:t>
      </w:r>
      <w:r>
        <w:rPr>
          <w:rFonts w:ascii="宋体" w:hAnsi="宋体"/>
          <w:color w:val="000000"/>
        </w:rPr>
        <w:t>古树名木保护</w:t>
      </w:r>
      <w:r>
        <w:rPr>
          <w:rFonts w:hint="eastAsia" w:ascii="宋体" w:hAnsi="宋体"/>
          <w:color w:val="000000"/>
        </w:rPr>
        <w:t>、闲置资源盘活，实现街区复兴。依托巴金巷、桓侯巷等传统街巷独特文化内涵，迁出与文化旅游不相关的业态，植入文化休闲体验、文化创意等新型业态，打造一批特色主题街区。依托凤凰山丰富历史文化资源，围绕东山印象等特色景点，突出女皇文化、民国风情、川北传统街巷等文化元素，将凤凰山北麓打造成连片历史文化风貌特色区域。</w:t>
      </w:r>
    </w:p>
    <w:p>
      <w:pPr>
        <w:adjustRightInd w:val="0"/>
        <w:snapToGrid w:val="0"/>
        <w:ind w:firstLine="560"/>
        <w:rPr>
          <w:rFonts w:ascii="宋体" w:hAnsi="宋体"/>
        </w:rPr>
      </w:pPr>
      <w:r>
        <w:rPr>
          <w:rFonts w:hint="eastAsia" w:ascii="宋体" w:hAnsi="宋体"/>
        </w:rPr>
        <w:t>打造记忆景点。秉承历史、生态、人文三要素结合的理念，保护和传承特有历史文化资源，修缮和提升大华纱厂、老铁桥、东山老街、广元火车南站，打造以“留住川北街巷记忆、广元文化地标”为主题的东山印象，以民国风情为主题的大华</w:t>
      </w:r>
      <w:r>
        <w:rPr>
          <w:rFonts w:ascii="宋体" w:hAnsi="宋体"/>
        </w:rPr>
        <w:t>1939、以老广元城市记忆为主题的老铁桥</w:t>
      </w:r>
      <w:r>
        <w:rPr>
          <w:rFonts w:hint="eastAsia" w:ascii="宋体" w:hAnsi="宋体"/>
        </w:rPr>
        <w:t>、以铁路文化为主题的火车南站</w:t>
      </w:r>
      <w:r>
        <w:rPr>
          <w:rFonts w:ascii="宋体" w:hAnsi="宋体"/>
        </w:rPr>
        <w:t>，留住广元特有文脉，承载城市记忆，打造城市旅游名片和新网红地标。</w:t>
      </w:r>
    </w:p>
    <w:p>
      <w:pPr>
        <w:pStyle w:val="7"/>
        <w:tabs>
          <w:tab w:val="left" w:pos="720"/>
        </w:tabs>
        <w:adjustRightInd w:val="0"/>
        <w:snapToGrid w:val="0"/>
        <w:rPr>
          <w:rFonts w:ascii="宋体" w:hAnsi="宋体"/>
          <w:color w:val="000000"/>
        </w:rPr>
      </w:pPr>
      <w:bookmarkStart w:id="195" w:name="_Toc118566289"/>
      <w:bookmarkStart w:id="196" w:name="_Toc118566555"/>
      <w:bookmarkStart w:id="197" w:name="_Toc118566689"/>
      <w:bookmarkStart w:id="198" w:name="_Toc118566422"/>
      <w:r>
        <w:rPr>
          <w:rFonts w:ascii="宋体" w:hAnsi="宋体"/>
          <w:color w:val="000000"/>
        </w:rPr>
        <w:t>7</w:t>
      </w:r>
      <w:r>
        <w:rPr>
          <w:rFonts w:hint="eastAsia" w:ascii="宋体" w:hAnsi="宋体"/>
          <w:color w:val="000000"/>
        </w:rPr>
        <w:t>.提振商业业态</w:t>
      </w:r>
      <w:bookmarkEnd w:id="195"/>
      <w:bookmarkEnd w:id="196"/>
      <w:bookmarkEnd w:id="197"/>
      <w:bookmarkEnd w:id="198"/>
    </w:p>
    <w:p>
      <w:pPr>
        <w:adjustRightInd w:val="0"/>
        <w:snapToGrid w:val="0"/>
        <w:ind w:firstLine="560"/>
        <w:rPr>
          <w:rFonts w:ascii="宋体" w:hAnsi="宋体"/>
          <w:color w:val="000000"/>
        </w:rPr>
      </w:pPr>
      <w:r>
        <w:rPr>
          <w:rFonts w:hint="eastAsia" w:ascii="宋体" w:hAnsi="宋体"/>
          <w:color w:val="000000"/>
        </w:rPr>
        <w:t>打造特色商业街区。通过建筑立面改造、广告和灯光提升，着力提升商业步行街沿线风貌。引导商业街内落后商业模式升级，打造一条集餐饮、文化、购物、住宿为一体的消费路线。充分挖掘和利用女皇文化、蜀道文化、三国文化、川北民俗文化、红色文化和嘉陵江文化等特色历史文化资源，为泊舫巷、五福巷、桓候巷、海星巷、商会巷、母家巷、女儿巷、东颖巷、巴金巷等街道注入文化元素，形成一街一景、一巷一品的独特格局，为游客提供具有广元特色的消费体验和乐趣。</w:t>
      </w:r>
    </w:p>
    <w:p>
      <w:pPr>
        <w:adjustRightInd w:val="0"/>
        <w:snapToGrid w:val="0"/>
        <w:ind w:firstLine="560"/>
        <w:rPr>
          <w:rFonts w:ascii="宋体" w:hAnsi="宋体"/>
          <w:color w:val="000000"/>
        </w:rPr>
      </w:pPr>
      <w:r>
        <w:rPr>
          <w:rFonts w:ascii="宋体" w:hAnsi="宋体"/>
          <w:color w:val="000000"/>
        </w:rPr>
        <w:t>打造滨江夜间消费示范区</w:t>
      </w:r>
      <w:r>
        <w:rPr>
          <w:rFonts w:hint="eastAsia" w:ascii="宋体" w:hAnsi="宋体"/>
          <w:color w:val="000000"/>
        </w:rPr>
        <w:t>。</w:t>
      </w:r>
      <w:r>
        <w:rPr>
          <w:rFonts w:ascii="宋体" w:hAnsi="宋体"/>
          <w:color w:val="000000"/>
        </w:rPr>
        <w:t>依托滨江景观优势，推广游船游览，完善嘉陵江流域步行绿道，打造休闲健身长廊；充分挖掘夜间消费新动能，培育沿江夜间经济，引入酒吧夜店、文娱表演等业态形式，打造广元夜间消费新地标。</w:t>
      </w:r>
    </w:p>
    <w:p>
      <w:pPr>
        <w:pStyle w:val="7"/>
        <w:tabs>
          <w:tab w:val="left" w:pos="720"/>
        </w:tabs>
        <w:adjustRightInd w:val="0"/>
        <w:snapToGrid w:val="0"/>
        <w:rPr>
          <w:rFonts w:ascii="宋体" w:hAnsi="宋体"/>
          <w:color w:val="000000"/>
        </w:rPr>
      </w:pPr>
      <w:bookmarkStart w:id="199" w:name="_Toc118566557"/>
      <w:bookmarkStart w:id="200" w:name="_Toc118566424"/>
      <w:bookmarkStart w:id="201" w:name="_Toc118566291"/>
      <w:bookmarkStart w:id="202" w:name="_Toc118566691"/>
      <w:r>
        <w:rPr>
          <w:rFonts w:hint="eastAsia" w:ascii="宋体" w:hAnsi="宋体"/>
          <w:color w:val="000000"/>
        </w:rPr>
        <w:t>8</w:t>
      </w:r>
      <w:r>
        <w:rPr>
          <w:rFonts w:ascii="宋体" w:hAnsi="宋体"/>
          <w:color w:val="000000"/>
        </w:rPr>
        <w:t>.</w:t>
      </w:r>
      <w:bookmarkEnd w:id="199"/>
      <w:bookmarkEnd w:id="200"/>
      <w:bookmarkEnd w:id="201"/>
      <w:bookmarkEnd w:id="202"/>
      <w:r>
        <w:rPr>
          <w:rFonts w:ascii="宋体" w:hAnsi="宋体"/>
          <w:color w:val="000000"/>
        </w:rPr>
        <w:t>健全基层治理体系</w:t>
      </w:r>
      <w:r>
        <w:rPr>
          <w:rFonts w:ascii="宋体" w:hAnsi="宋体"/>
          <w:color w:val="000000"/>
        </w:rPr>
        <w:tab/>
      </w:r>
    </w:p>
    <w:p>
      <w:pPr>
        <w:adjustRightInd w:val="0"/>
        <w:snapToGrid w:val="0"/>
        <w:ind w:firstLine="560"/>
        <w:rPr>
          <w:rFonts w:ascii="宋体" w:hAnsi="宋体"/>
          <w:color w:val="000000"/>
        </w:rPr>
      </w:pPr>
      <w:r>
        <w:rPr>
          <w:rFonts w:hint="eastAsia" w:ascii="宋体" w:hAnsi="宋体"/>
          <w:color w:val="000000"/>
        </w:rPr>
        <w:t>完善社区治理机制。坚持共建共治共享，增强城市街道、社区党组织政治功能和组织能力，推进“两新组织”党组织全覆盖和居委会、业委会、物业企业“三位一体”建设，形成党组织统一领导、政府依法履责、各类组织积极协同、群众广泛参与、自治法治德治相结合的基层治理体系，构建网络化管理、精细化服务、信息化支撑、开放共享的基层管理服务平台，推动基层治理体系和治理能力现代化。</w:t>
      </w:r>
    </w:p>
    <w:p>
      <w:pPr>
        <w:adjustRightInd w:val="0"/>
        <w:snapToGrid w:val="0"/>
        <w:ind w:firstLine="560"/>
        <w:rPr>
          <w:rFonts w:ascii="宋体" w:hAnsi="宋体"/>
          <w:color w:val="000000"/>
        </w:rPr>
      </w:pPr>
      <w:r>
        <w:rPr>
          <w:rFonts w:hint="eastAsia" w:ascii="宋体" w:hAnsi="宋体"/>
          <w:color w:val="000000"/>
        </w:rPr>
        <w:t>提升物业服务水平。全面推行社区党委领导下的居委会、小区党支部、业主委员会、物业服务企业“四位一体”的管理体制，推动社会治理和服务重心向基层下移。推进物业服务全覆盖，采取全面推行则天南路社区开办物业经验、引入国有物业服务企业、社区“两委”组织居民自我管理等方式，建立健全老旧小区物业管理体系和制度，实现物业服务转型升级。</w:t>
      </w:r>
    </w:p>
    <w:tbl>
      <w:tblPr>
        <w:tblStyle w:val="18"/>
        <w:tblW w:w="829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78" w:type="dxa"/>
          <w:right w:w="108" w:type="dxa"/>
        </w:tblCellMar>
      </w:tblPr>
      <w:tblGrid>
        <w:gridCol w:w="82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78" w:type="dxa"/>
            <w:right w:w="108" w:type="dxa"/>
          </w:tblCellMar>
        </w:tblPrEx>
        <w:trPr>
          <w:trHeight w:val="20" w:hRule="atLeast"/>
        </w:trPr>
        <w:tc>
          <w:tcPr>
            <w:tcW w:w="8299" w:type="dxa"/>
            <w:tcBorders>
              <w:top w:val="single" w:color="000000" w:sz="4" w:space="0"/>
              <w:left w:val="single" w:color="000000" w:sz="4" w:space="0"/>
              <w:bottom w:val="single" w:color="000000" w:sz="4" w:space="0"/>
              <w:right w:val="single" w:color="000000" w:sz="4" w:space="0"/>
            </w:tcBorders>
            <w:vAlign w:val="bottom"/>
          </w:tcPr>
          <w:p>
            <w:pPr>
              <w:adjustRightInd w:val="0"/>
              <w:snapToGrid w:val="0"/>
              <w:spacing w:line="240" w:lineRule="auto"/>
              <w:ind w:right="3" w:firstLine="482"/>
              <w:jc w:val="center"/>
              <w:rPr>
                <w:rFonts w:ascii="宋体" w:hAnsi="宋体"/>
                <w:b/>
                <w:color w:val="000000"/>
                <w:sz w:val="24"/>
                <w:szCs w:val="24"/>
              </w:rPr>
            </w:pPr>
            <w:r>
              <w:rPr>
                <w:rFonts w:ascii="宋体" w:hAnsi="宋体"/>
                <w:b/>
                <w:color w:val="000000"/>
                <w:sz w:val="24"/>
                <w:szCs w:val="24"/>
              </w:rPr>
              <w:t>专栏</w:t>
            </w:r>
            <w:r>
              <w:rPr>
                <w:rFonts w:ascii="宋体" w:hAnsi="宋体" w:cs="仿宋_GB2312"/>
                <w:b/>
                <w:color w:val="000000"/>
                <w:sz w:val="24"/>
                <w:szCs w:val="24"/>
              </w:rPr>
              <w:t>3-1</w:t>
            </w:r>
            <w:r>
              <w:rPr>
                <w:rFonts w:hint="eastAsia" w:ascii="宋体" w:hAnsi="宋体" w:cs="仿宋_GB2312"/>
                <w:b/>
                <w:color w:val="000000"/>
                <w:sz w:val="24"/>
                <w:szCs w:val="24"/>
              </w:rPr>
              <w:t>城市更新行动计划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78" w:type="dxa"/>
            <w:right w:w="108" w:type="dxa"/>
          </w:tblCellMar>
        </w:tblPrEx>
        <w:trPr>
          <w:trHeight w:val="20" w:hRule="atLeast"/>
        </w:trPr>
        <w:tc>
          <w:tcPr>
            <w:tcW w:w="8299" w:type="dxa"/>
            <w:tcBorders>
              <w:top w:val="single" w:color="000000" w:sz="4" w:space="0"/>
              <w:left w:val="single" w:color="000000" w:sz="4" w:space="0"/>
              <w:bottom w:val="single" w:color="000000" w:sz="4" w:space="0"/>
              <w:right w:val="single" w:color="000000" w:sz="4" w:space="0"/>
            </w:tcBorders>
            <w:vAlign w:val="bottom"/>
          </w:tcPr>
          <w:p>
            <w:pPr>
              <w:adjustRightInd w:val="0"/>
              <w:snapToGrid w:val="0"/>
              <w:ind w:firstLine="0" w:firstLineChars="0"/>
              <w:rPr>
                <w:rFonts w:ascii="宋体" w:hAnsi="宋体"/>
                <w:b/>
                <w:color w:val="000000"/>
                <w:sz w:val="22"/>
              </w:rPr>
            </w:pPr>
            <w:r>
              <w:rPr>
                <w:rFonts w:hint="eastAsia" w:ascii="宋体" w:hAnsi="宋体"/>
                <w:b/>
                <w:color w:val="000000"/>
                <w:sz w:val="22"/>
              </w:rPr>
              <w:t>1.稳步推进棚户区改造。</w:t>
            </w:r>
            <w:r>
              <w:rPr>
                <w:rFonts w:hint="eastAsia" w:ascii="宋体" w:hAnsi="宋体"/>
                <w:color w:val="000000"/>
                <w:sz w:val="22"/>
              </w:rPr>
              <w:t>逐步实施广元市利州西路棚户区改造项目（面积2</w:t>
            </w:r>
            <w:r>
              <w:rPr>
                <w:rFonts w:ascii="宋体" w:hAnsi="宋体"/>
                <w:color w:val="000000"/>
                <w:sz w:val="22"/>
              </w:rPr>
              <w:t>326</w:t>
            </w:r>
            <w:r>
              <w:rPr>
                <w:rFonts w:hint="eastAsia" w:ascii="宋体" w:hAnsi="宋体"/>
                <w:color w:val="000000"/>
                <w:sz w:val="22"/>
              </w:rPr>
              <w:t>亩）、水柜片区棚户区改造项目（面积1</w:t>
            </w:r>
            <w:r>
              <w:rPr>
                <w:rFonts w:ascii="宋体" w:hAnsi="宋体"/>
                <w:color w:val="000000"/>
                <w:sz w:val="22"/>
              </w:rPr>
              <w:t>200</w:t>
            </w:r>
            <w:r>
              <w:rPr>
                <w:rFonts w:hint="eastAsia" w:ascii="宋体" w:hAnsi="宋体"/>
                <w:color w:val="000000"/>
                <w:sz w:val="22"/>
              </w:rPr>
              <w:t>亩）、利州区大稻坝片区棚户区改造（面积8</w:t>
            </w:r>
            <w:r>
              <w:rPr>
                <w:rFonts w:ascii="宋体" w:hAnsi="宋体"/>
                <w:color w:val="000000"/>
                <w:sz w:val="22"/>
              </w:rPr>
              <w:t>0</w:t>
            </w:r>
            <w:r>
              <w:rPr>
                <w:rFonts w:hint="eastAsia" w:ascii="宋体" w:hAnsi="宋体"/>
                <w:color w:val="000000"/>
                <w:sz w:val="22"/>
              </w:rPr>
              <w:t>万㎡）、</w:t>
            </w:r>
            <w:r>
              <w:rPr>
                <w:rFonts w:hint="eastAsia" w:ascii="宋体" w:hAnsi="宋体" w:cs="宋体"/>
                <w:color w:val="000000"/>
                <w:kern w:val="0"/>
                <w:sz w:val="21"/>
                <w:szCs w:val="21"/>
                <w:lang/>
              </w:rPr>
              <w:t>利州区三堆棚户区改造（改造户数8</w:t>
            </w:r>
            <w:r>
              <w:rPr>
                <w:rFonts w:ascii="宋体" w:hAnsi="宋体" w:cs="宋体"/>
                <w:color w:val="000000"/>
                <w:kern w:val="0"/>
                <w:sz w:val="21"/>
                <w:szCs w:val="21"/>
                <w:lang/>
              </w:rPr>
              <w:t>00</w:t>
            </w:r>
            <w:r>
              <w:rPr>
                <w:rFonts w:hint="eastAsia" w:ascii="宋体" w:hAnsi="宋体" w:cs="宋体"/>
                <w:color w:val="000000"/>
                <w:kern w:val="0"/>
                <w:sz w:val="21"/>
                <w:szCs w:val="21"/>
                <w:lang/>
              </w:rPr>
              <w:t>余户）、</w:t>
            </w:r>
            <w:r>
              <w:rPr>
                <w:rFonts w:hint="eastAsia" w:ascii="宋体" w:hAnsi="宋体"/>
                <w:color w:val="000000"/>
                <w:sz w:val="22"/>
              </w:rPr>
              <w:t>青川县乔庄镇城中村棚户区改造项目、剑阁县沙溪组团棚户区（城中村）改造项目二期、苍溪县三清片区棚户区改造、旺苍县洪江市场棚户区改造项目等棚户区改造项目，完善棚户区配套设施。</w:t>
            </w:r>
          </w:p>
          <w:p>
            <w:pPr>
              <w:adjustRightInd w:val="0"/>
              <w:snapToGrid w:val="0"/>
              <w:ind w:firstLine="0" w:firstLineChars="0"/>
              <w:rPr>
                <w:rFonts w:ascii="宋体" w:hAnsi="宋体"/>
                <w:sz w:val="22"/>
              </w:rPr>
            </w:pPr>
            <w:r>
              <w:rPr>
                <w:rFonts w:hint="eastAsia" w:ascii="宋体" w:hAnsi="宋体"/>
                <w:b/>
                <w:color w:val="000000"/>
                <w:sz w:val="22"/>
              </w:rPr>
              <w:t>2</w:t>
            </w:r>
            <w:r>
              <w:rPr>
                <w:rFonts w:ascii="宋体" w:hAnsi="宋体"/>
                <w:b/>
                <w:color w:val="000000"/>
                <w:sz w:val="22"/>
              </w:rPr>
              <w:t>.</w:t>
            </w:r>
            <w:r>
              <w:rPr>
                <w:rFonts w:hint="eastAsia" w:ascii="宋体" w:hAnsi="宋体"/>
                <w:b/>
                <w:color w:val="000000"/>
                <w:sz w:val="22"/>
              </w:rPr>
              <w:t>全面推进老旧小区改造。</w:t>
            </w:r>
            <w:r>
              <w:rPr>
                <w:rFonts w:hint="eastAsia" w:ascii="宋体" w:hAnsi="宋体"/>
                <w:color w:val="000000"/>
                <w:sz w:val="22"/>
              </w:rPr>
              <w:t>加快实施广元市主城区老旧小区改造项目（对2</w:t>
            </w:r>
            <w:r>
              <w:rPr>
                <w:rFonts w:ascii="宋体" w:hAnsi="宋体"/>
                <w:color w:val="000000"/>
                <w:sz w:val="22"/>
              </w:rPr>
              <w:t>005</w:t>
            </w:r>
            <w:r>
              <w:rPr>
                <w:rFonts w:hint="eastAsia" w:ascii="宋体" w:hAnsi="宋体"/>
                <w:color w:val="000000"/>
                <w:sz w:val="22"/>
              </w:rPr>
              <w:t>年底前建成的5</w:t>
            </w:r>
            <w:r>
              <w:rPr>
                <w:rFonts w:ascii="宋体" w:hAnsi="宋体"/>
                <w:color w:val="000000"/>
                <w:sz w:val="22"/>
              </w:rPr>
              <w:t>51</w:t>
            </w:r>
            <w:r>
              <w:rPr>
                <w:rFonts w:hint="eastAsia" w:ascii="宋体" w:hAnsi="宋体"/>
                <w:color w:val="000000"/>
                <w:sz w:val="22"/>
              </w:rPr>
              <w:t>个城镇老旧小区进行改造）、</w:t>
            </w:r>
            <w:r>
              <w:rPr>
                <w:rFonts w:hint="eastAsia" w:ascii="宋体" w:hAnsi="宋体"/>
                <w:sz w:val="22"/>
              </w:rPr>
              <w:t>经开区铁路社区片区老旧小区改造提升项目、朝天城区小中坝片区、大巴口片区、羊木片区、中子片区老旧小区改造项目、乔庄镇老城片区老旧小区改造配套基础设施项目、剑阁县普安镇鼓楼片区、小玲珑片区老旧小区改造、旺苍县东河镇红场片区、新城片区老旧小区配套设施建设，到</w:t>
            </w:r>
            <w:r>
              <w:rPr>
                <w:rFonts w:ascii="宋体" w:hAnsi="宋体"/>
                <w:sz w:val="22"/>
              </w:rPr>
              <w:t>2025年，基本完成2000年底前建成的城镇老旧小区改造</w:t>
            </w:r>
            <w:r>
              <w:rPr>
                <w:rFonts w:hint="eastAsia" w:ascii="宋体" w:hAnsi="宋体"/>
                <w:sz w:val="22"/>
              </w:rPr>
              <w:t>。</w:t>
            </w:r>
          </w:p>
          <w:p>
            <w:pPr>
              <w:adjustRightInd w:val="0"/>
              <w:snapToGrid w:val="0"/>
              <w:ind w:firstLine="0" w:firstLineChars="0"/>
              <w:rPr>
                <w:rFonts w:ascii="宋体" w:hAnsi="宋体"/>
                <w:color w:val="000000"/>
                <w:sz w:val="22"/>
              </w:rPr>
            </w:pPr>
            <w:r>
              <w:rPr>
                <w:rFonts w:hint="eastAsia" w:ascii="宋体" w:hAnsi="宋体"/>
                <w:b/>
                <w:color w:val="000000"/>
                <w:sz w:val="22"/>
              </w:rPr>
              <w:t>3.强化风貌保护提升。</w:t>
            </w:r>
            <w:r>
              <w:rPr>
                <w:rFonts w:hint="eastAsia" w:ascii="宋体" w:hAnsi="宋体"/>
                <w:color w:val="000000"/>
                <w:sz w:val="22"/>
              </w:rPr>
              <w:t>实施北街商业步行街建筑立面整治；望江路、上下河街建筑立面整治；东街、大西街、新华街、小西街、街区建筑立面整治。昭化城区任家湾片区城市更新示范区建设、青川县特色街区建设等风貌提升工程。</w:t>
            </w:r>
          </w:p>
          <w:p>
            <w:pPr>
              <w:adjustRightInd w:val="0"/>
              <w:snapToGrid w:val="0"/>
              <w:ind w:firstLine="0" w:firstLineChars="0"/>
              <w:rPr>
                <w:rFonts w:ascii="宋体" w:hAnsi="宋体"/>
                <w:color w:val="000000"/>
                <w:sz w:val="22"/>
              </w:rPr>
            </w:pPr>
            <w:r>
              <w:rPr>
                <w:rFonts w:hint="eastAsia" w:ascii="宋体" w:hAnsi="宋体"/>
                <w:b/>
                <w:color w:val="000000"/>
                <w:sz w:val="22"/>
              </w:rPr>
              <w:t>4</w:t>
            </w:r>
            <w:r>
              <w:rPr>
                <w:rFonts w:ascii="宋体" w:hAnsi="宋体"/>
                <w:b/>
                <w:color w:val="000000"/>
                <w:sz w:val="22"/>
              </w:rPr>
              <w:t>.</w:t>
            </w:r>
            <w:r>
              <w:rPr>
                <w:rFonts w:hint="eastAsia" w:ascii="宋体" w:hAnsi="宋体"/>
                <w:b/>
                <w:color w:val="000000"/>
                <w:sz w:val="22"/>
              </w:rPr>
              <w:t>文旅融合赋能行动。</w:t>
            </w:r>
            <w:r>
              <w:rPr>
                <w:rFonts w:hint="eastAsia" w:ascii="宋体" w:hAnsi="宋体"/>
                <w:color w:val="000000"/>
                <w:sz w:val="22"/>
              </w:rPr>
              <w:t>实施广元市老旧街区改造项目、广元</w:t>
            </w:r>
            <w:r>
              <w:rPr>
                <w:rFonts w:ascii="宋体" w:hAnsi="宋体"/>
                <w:color w:val="000000"/>
                <w:sz w:val="22"/>
              </w:rPr>
              <w:t>821工厂厂区改造项目</w:t>
            </w:r>
            <w:r>
              <w:rPr>
                <w:rFonts w:hint="eastAsia" w:ascii="宋体" w:hAnsi="宋体"/>
                <w:color w:val="000000"/>
                <w:sz w:val="22"/>
              </w:rPr>
              <w:t>、</w:t>
            </w:r>
          </w:p>
          <w:p>
            <w:pPr>
              <w:adjustRightInd w:val="0"/>
              <w:snapToGrid w:val="0"/>
              <w:ind w:firstLine="0" w:firstLineChars="0"/>
              <w:rPr>
                <w:rFonts w:hint="eastAsia" w:ascii="宋体" w:hAnsi="宋体"/>
                <w:b/>
                <w:color w:val="000000"/>
                <w:sz w:val="22"/>
              </w:rPr>
            </w:pPr>
            <w:r>
              <w:rPr>
                <w:rFonts w:hint="eastAsia" w:ascii="宋体" w:hAnsi="宋体"/>
                <w:color w:val="000000"/>
                <w:sz w:val="22"/>
              </w:rPr>
              <w:t>大华</w:t>
            </w:r>
            <w:r>
              <w:rPr>
                <w:rFonts w:ascii="宋体" w:hAnsi="宋体"/>
                <w:color w:val="000000"/>
                <w:sz w:val="22"/>
              </w:rPr>
              <w:t>1939城市记忆项目</w:t>
            </w:r>
            <w:r>
              <w:rPr>
                <w:rFonts w:hint="eastAsia" w:ascii="宋体" w:hAnsi="宋体"/>
                <w:color w:val="000000"/>
                <w:sz w:val="22"/>
              </w:rPr>
              <w:t>-</w:t>
            </w:r>
            <w:r>
              <w:rPr>
                <w:rFonts w:ascii="宋体" w:hAnsi="宋体"/>
                <w:color w:val="000000"/>
                <w:sz w:val="22"/>
              </w:rPr>
              <w:t>广元大华1939民族工业遗址文创园区建设项目</w:t>
            </w:r>
            <w:r>
              <w:rPr>
                <w:rFonts w:hint="eastAsia" w:ascii="宋体" w:hAnsi="宋体"/>
                <w:color w:val="000000"/>
                <w:sz w:val="22"/>
              </w:rPr>
              <w:t>、特色街巷重塑项目等等示范项目，使其成为广元市文化和商业新地标。</w:t>
            </w:r>
          </w:p>
          <w:p>
            <w:pPr>
              <w:pStyle w:val="2"/>
              <w:rPr>
                <w:rFonts w:hint="eastAsia" w:hAnsi="宋体"/>
              </w:rPr>
            </w:pPr>
            <w:r>
              <w:rPr>
                <w:rFonts w:hAnsi="宋体" w:cs="楷体_GB2312"/>
                <w:b/>
                <w:bCs/>
                <w:sz w:val="22"/>
                <w:szCs w:val="22"/>
              </w:rPr>
              <w:t>5.</w:t>
            </w:r>
            <w:r>
              <w:rPr>
                <w:rFonts w:hint="eastAsia" w:hAnsi="宋体" w:cs="楷体_GB2312"/>
                <w:b/>
                <w:bCs/>
                <w:sz w:val="22"/>
                <w:szCs w:val="22"/>
              </w:rPr>
              <w:t>城市光亮提升项目。</w:t>
            </w:r>
            <w:r>
              <w:rPr>
                <w:rFonts w:hint="eastAsia" w:hAnsi="宋体" w:cs="楷体_GB2312"/>
                <w:bCs/>
                <w:sz w:val="22"/>
                <w:szCs w:val="22"/>
              </w:rPr>
              <w:t>推动重点街道、建筑地标、特色景观及小品等夜景灯光效果升级，服务夜间经济，提高设施使用率、延长游客滞留时间，带动区域发展。到</w:t>
            </w:r>
            <w:r>
              <w:rPr>
                <w:rFonts w:hAnsi="宋体" w:cs="楷体_GB2312"/>
                <w:bCs/>
                <w:sz w:val="22"/>
                <w:szCs w:val="22"/>
              </w:rPr>
              <w:t>2022年底，完成利州东路、苴国路、蜀门北路、蜀门南路、滨河南路、滨河北路等重要街道，凤凰山公园、湿地公园、利州广场、南河广场、苴国广场、嘉陵广场等公园广场，火车站、汽车站、广元国际会展中心、来雁塔、皇泽寺等标志性建筑既有光亮工程维修，实现恢复亮灯。2023年5月1日前，完工“两江四岸”提升改造工程，完成建筑风貌、城市色彩、天际线、光亮、桥梁、业态等提升。2023年9月1日前，全面完成城</w:t>
            </w:r>
            <w:r>
              <w:rPr>
                <w:rFonts w:hint="eastAsia" w:hAnsi="宋体" w:cs="楷体_GB2312"/>
                <w:bCs/>
                <w:sz w:val="22"/>
                <w:szCs w:val="22"/>
              </w:rPr>
              <w:t>市光亮照明工程提升。</w:t>
            </w:r>
          </w:p>
        </w:tc>
      </w:tr>
    </w:tbl>
    <w:p>
      <w:pPr>
        <w:pStyle w:val="5"/>
        <w:numPr>
          <w:numId w:val="0"/>
        </w:numPr>
        <w:spacing w:before="190"/>
        <w:rPr>
          <w:rFonts w:ascii="宋体" w:hAnsi="宋体"/>
          <w:color w:val="000000"/>
        </w:rPr>
      </w:pPr>
      <w:bookmarkStart w:id="203" w:name="_Toc119916743"/>
      <w:bookmarkStart w:id="204" w:name="_Toc118566558"/>
      <w:bookmarkStart w:id="205" w:name="_Toc118566425"/>
      <w:bookmarkStart w:id="206" w:name="_Toc118566692"/>
      <w:bookmarkStart w:id="207" w:name="_Toc118566292"/>
      <w:r>
        <w:rPr>
          <w:rFonts w:hint="eastAsia" w:ascii="宋体" w:hAnsi="宋体"/>
          <w:color w:val="000000"/>
        </w:rPr>
        <w:t>四、推进公园城市建设</w:t>
      </w:r>
      <w:bookmarkEnd w:id="203"/>
      <w:bookmarkEnd w:id="204"/>
      <w:bookmarkEnd w:id="205"/>
      <w:bookmarkEnd w:id="206"/>
      <w:bookmarkEnd w:id="207"/>
    </w:p>
    <w:p>
      <w:pPr>
        <w:adjustRightInd w:val="0"/>
        <w:snapToGrid w:val="0"/>
        <w:ind w:firstLine="560"/>
        <w:rPr>
          <w:rFonts w:ascii="宋体" w:hAnsi="宋体"/>
        </w:rPr>
      </w:pPr>
      <w:r>
        <w:rPr>
          <w:rFonts w:hint="eastAsia" w:ascii="宋体" w:hAnsi="宋体"/>
        </w:rPr>
        <w:t>绿水青山就是金山银山，优良的生态环境是广元最大优势和重要的发展依托，大山大水大森林是广元城市的最美底色。近年来，广元市坚持“生态立市”战略，深入实施主城区“增彩添香”的“五化”工程，城市绿色格局日臻完善，推进</w:t>
      </w:r>
      <w:r>
        <w:rPr>
          <w:rFonts w:ascii="宋体" w:hAnsi="宋体"/>
        </w:rPr>
        <w:t>广元市</w:t>
      </w:r>
      <w:r>
        <w:rPr>
          <w:rFonts w:hint="eastAsia" w:ascii="宋体" w:hAnsi="宋体"/>
        </w:rPr>
        <w:t>生态环境建设与生态环境建设试点城市创建有机整合。支持苍溪县、青川县、剑阁县、旺苍县创建省级生态县、国家生态文明建设示范县。鼓励苍溪县、剑阁县创建国家园林城市。</w:t>
      </w:r>
    </w:p>
    <w:p>
      <w:pPr>
        <w:pStyle w:val="6"/>
        <w:ind w:firstLine="141"/>
        <w:rPr>
          <w:color w:val="000000"/>
        </w:rPr>
      </w:pPr>
      <w:bookmarkStart w:id="208" w:name="_Toc118566559"/>
      <w:bookmarkStart w:id="209" w:name="_Toc118566293"/>
      <w:bookmarkStart w:id="210" w:name="_Toc118566426"/>
      <w:bookmarkStart w:id="211" w:name="_Toc118566693"/>
      <w:r>
        <w:rPr>
          <w:rFonts w:hint="eastAsia"/>
          <w:color w:val="000000"/>
        </w:rPr>
        <w:t>（一）</w:t>
      </w:r>
      <w:r>
        <w:rPr>
          <w:color w:val="000000"/>
        </w:rPr>
        <w:t>提升城市绿化空间品质</w:t>
      </w:r>
      <w:bookmarkEnd w:id="208"/>
      <w:bookmarkEnd w:id="209"/>
      <w:bookmarkEnd w:id="210"/>
      <w:bookmarkEnd w:id="211"/>
    </w:p>
    <w:p>
      <w:pPr>
        <w:adjustRightInd w:val="0"/>
        <w:snapToGrid w:val="0"/>
        <w:ind w:firstLine="560"/>
        <w:rPr>
          <w:rFonts w:ascii="宋体" w:hAnsi="宋体"/>
          <w:color w:val="000000"/>
        </w:rPr>
      </w:pPr>
      <w:r>
        <w:rPr>
          <w:rFonts w:hint="eastAsia" w:ascii="宋体" w:hAnsi="宋体"/>
          <w:color w:val="000000"/>
        </w:rPr>
        <w:t>重视保护城市自然山水格局。推动城市内部水系、绿地同城市外围河湖、森林、耕地形成完整生态网络，建设生态环境优美、人与自然和谐共生的美丽家园。</w:t>
      </w:r>
    </w:p>
    <w:p>
      <w:pPr>
        <w:adjustRightInd w:val="0"/>
        <w:snapToGrid w:val="0"/>
        <w:ind w:firstLine="560"/>
        <w:rPr>
          <w:rFonts w:ascii="宋体" w:hAnsi="宋体"/>
          <w:color w:val="000000"/>
        </w:rPr>
      </w:pPr>
      <w:r>
        <w:rPr>
          <w:rFonts w:hint="eastAsia" w:ascii="宋体" w:hAnsi="宋体"/>
          <w:color w:val="000000"/>
        </w:rPr>
        <w:t>提高城市园林绿化水平。营造整洁、优美形象，采取拆违建绿，推进立体绿化，节约、创新绿化模式，构建完整连贯的城市绿地系统，实现“</w:t>
      </w:r>
      <w:r>
        <w:rPr>
          <w:rFonts w:ascii="宋体" w:hAnsi="宋体"/>
          <w:color w:val="000000"/>
        </w:rPr>
        <w:t>300米见绿，500米入园”的要求。</w:t>
      </w:r>
    </w:p>
    <w:p>
      <w:pPr>
        <w:adjustRightInd w:val="0"/>
        <w:snapToGrid w:val="0"/>
        <w:ind w:firstLine="560"/>
        <w:rPr>
          <w:rFonts w:ascii="宋体" w:hAnsi="宋体"/>
        </w:rPr>
      </w:pPr>
      <w:r>
        <w:rPr>
          <w:rFonts w:hint="eastAsia"/>
        </w:rPr>
        <w:t>完善城市公园体系。加强城市综合公园、社区公园、专类公园、口袋公园、绿色社区和绿道建设，提高南河国家湿地公园、栖凤湖公园、凤凰山公园等功能品质；结合“15 分钟生活圈”建设，有效利用城市中的零碎空地、边角空间等见缝插绿、拆违建绿、留白增绿，因地制宜建设各类“口袋公园”</w:t>
      </w:r>
      <w:r>
        <w:rPr>
          <w:rFonts w:ascii="宋体" w:hAnsi="宋体"/>
        </w:rPr>
        <w:t>；加强高边坡、工矿废弃地及滑坡山体生态修复和治理，构建系统均衡、类型多样的公园景观体系。</w:t>
      </w:r>
    </w:p>
    <w:p>
      <w:pPr>
        <w:adjustRightInd w:val="0"/>
        <w:snapToGrid w:val="0"/>
        <w:ind w:firstLine="560"/>
        <w:rPr>
          <w:rFonts w:ascii="宋体" w:hAnsi="宋体"/>
          <w:color w:val="000000"/>
        </w:rPr>
      </w:pPr>
      <w:r>
        <w:rPr>
          <w:rFonts w:hint="eastAsia" w:ascii="宋体" w:hAnsi="宋体"/>
          <w:color w:val="000000"/>
        </w:rPr>
        <w:t>中心城区打造嘉陵江、南河、白龙江、清江河沿岸滨水景观和水上游览线路，建设生态休闲公园、绿色健身廊道、城市生态绿地和光亮工程系统，形成城在景中、景在城中的生态宜居山水园林城市。加强苍溪县嘉陵江环湖滨水公园、杜里坝城市中央公园建设项目，旺苍县青林山休闲旅游度假园、鸡鸣山公园及河堤绿化休闲带建设项目。</w:t>
      </w:r>
    </w:p>
    <w:p>
      <w:pPr>
        <w:pStyle w:val="6"/>
        <w:ind w:firstLine="141"/>
        <w:rPr>
          <w:color w:val="000000"/>
        </w:rPr>
      </w:pPr>
      <w:bookmarkStart w:id="212" w:name="_Toc118566427"/>
      <w:bookmarkStart w:id="213" w:name="_Toc118566294"/>
      <w:bookmarkStart w:id="214" w:name="_Toc118566694"/>
      <w:bookmarkStart w:id="215" w:name="_Toc118566560"/>
      <w:r>
        <w:rPr>
          <w:rFonts w:hint="eastAsia"/>
          <w:color w:val="000000"/>
        </w:rPr>
        <w:t>（二）</w:t>
      </w:r>
      <w:r>
        <w:rPr>
          <w:color w:val="000000"/>
        </w:rPr>
        <w:t>完善园林绿地综合服务功能</w:t>
      </w:r>
      <w:bookmarkEnd w:id="212"/>
      <w:bookmarkEnd w:id="213"/>
      <w:bookmarkEnd w:id="214"/>
      <w:bookmarkEnd w:id="215"/>
    </w:p>
    <w:p>
      <w:pPr>
        <w:adjustRightInd w:val="0"/>
        <w:snapToGrid w:val="0"/>
        <w:ind w:firstLine="560"/>
        <w:rPr>
          <w:rFonts w:ascii="宋体" w:hAnsi="宋体"/>
          <w:color w:val="000000"/>
        </w:rPr>
      </w:pPr>
      <w:r>
        <w:rPr>
          <w:rFonts w:hint="eastAsia" w:ascii="宋体" w:hAnsi="宋体"/>
          <w:color w:val="000000"/>
        </w:rPr>
        <w:t>完善郊野公园、滨水生态绿地、森林公园等园林绿地配套设施，结合公园的布局和功能，在新建、改建的公园及小游园中设置亭廊、坐凳、垃圾箱、科普廊、健身设施，加强公园停车场、公厕等配套服务设施的提升改造，满足人们不同的需求，强化园林绿地服务居民日常活动的功能。推进城市园林绿地从单一功能向生态、景观、游憩、文化传承、科教、防灾等多种复合功能协调发展。加强日常养护和管理，并对老化、破损的设施及时更新，不断提升绿地景观，进一步完善服务功能。</w:t>
      </w:r>
    </w:p>
    <w:p>
      <w:pPr>
        <w:pStyle w:val="6"/>
        <w:ind w:firstLine="141"/>
        <w:rPr>
          <w:color w:val="000000"/>
        </w:rPr>
      </w:pPr>
      <w:bookmarkStart w:id="216" w:name="_Toc118566295"/>
      <w:bookmarkStart w:id="217" w:name="_Toc118566428"/>
      <w:bookmarkStart w:id="218" w:name="_Toc118566561"/>
      <w:bookmarkStart w:id="219" w:name="_Toc118566695"/>
      <w:r>
        <w:rPr>
          <w:rFonts w:hint="eastAsia"/>
          <w:color w:val="000000"/>
        </w:rPr>
        <w:t>（三）</w:t>
      </w:r>
      <w:r>
        <w:rPr>
          <w:color w:val="000000"/>
        </w:rPr>
        <w:t>建设富有活力的绿色街道和绿色社区</w:t>
      </w:r>
      <w:bookmarkEnd w:id="216"/>
      <w:bookmarkEnd w:id="217"/>
      <w:bookmarkEnd w:id="218"/>
      <w:bookmarkEnd w:id="219"/>
    </w:p>
    <w:p>
      <w:pPr>
        <w:adjustRightInd w:val="0"/>
        <w:snapToGrid w:val="0"/>
        <w:ind w:firstLine="560"/>
        <w:rPr>
          <w:rFonts w:ascii="宋体" w:hAnsi="宋体"/>
          <w:color w:val="000000"/>
        </w:rPr>
      </w:pPr>
      <w:r>
        <w:rPr>
          <w:rFonts w:ascii="宋体" w:hAnsi="宋体"/>
          <w:color w:val="000000"/>
        </w:rPr>
        <w:t>统筹城市交通、景</w:t>
      </w:r>
      <w:r>
        <w:rPr>
          <w:rFonts w:hint="eastAsia" w:ascii="宋体" w:hAnsi="宋体"/>
          <w:color w:val="000000"/>
        </w:rPr>
        <w:t>观绿化和商业设施，建设绿色街道。对单位、社区、旧小区绿地改造提升，完善街道家具设施，提升环境舒适度。完善社区，</w:t>
      </w:r>
      <w:r>
        <w:rPr>
          <w:rFonts w:ascii="宋体" w:hAnsi="宋体"/>
          <w:color w:val="000000"/>
        </w:rPr>
        <w:t>十五分钟生</w:t>
      </w:r>
      <w:r>
        <w:rPr>
          <w:rFonts w:hint="eastAsia" w:ascii="宋体" w:hAnsi="宋体"/>
          <w:color w:val="000000"/>
        </w:rPr>
        <w:t>活圈绿色开放空间，推广生态屋顶、立体绿化，开展园艺进社区、园艺进家庭活动，倡导绿色生活。</w:t>
      </w:r>
    </w:p>
    <w:p>
      <w:pPr>
        <w:pStyle w:val="6"/>
        <w:ind w:firstLine="141"/>
        <w:rPr>
          <w:color w:val="000000"/>
        </w:rPr>
      </w:pPr>
      <w:bookmarkStart w:id="220" w:name="_Toc118566296"/>
      <w:bookmarkStart w:id="221" w:name="_Toc118566696"/>
      <w:bookmarkStart w:id="222" w:name="_Toc118566429"/>
      <w:bookmarkStart w:id="223" w:name="_Toc118566562"/>
      <w:r>
        <w:rPr>
          <w:rFonts w:hint="eastAsia"/>
          <w:color w:val="000000"/>
        </w:rPr>
        <w:t>（四）</w:t>
      </w:r>
      <w:r>
        <w:rPr>
          <w:color w:val="000000"/>
        </w:rPr>
        <w:t>持续抓好生态环境建设试点示范工作</w:t>
      </w:r>
      <w:bookmarkEnd w:id="220"/>
      <w:bookmarkEnd w:id="221"/>
      <w:bookmarkEnd w:id="222"/>
      <w:bookmarkEnd w:id="223"/>
    </w:p>
    <w:p>
      <w:pPr>
        <w:adjustRightInd w:val="0"/>
        <w:snapToGrid w:val="0"/>
        <w:ind w:firstLine="560"/>
        <w:rPr>
          <w:rFonts w:ascii="宋体" w:hAnsi="宋体"/>
          <w:color w:val="000000"/>
        </w:rPr>
      </w:pPr>
      <w:r>
        <w:rPr>
          <w:rFonts w:hint="eastAsia" w:ascii="宋体" w:hAnsi="宋体"/>
          <w:color w:val="000000"/>
        </w:rPr>
        <w:t>开展广元市生态文明建设示范创建工作，指导各县区积极争取省级生态县、国家生态文明建设示范县创建。以点带面、全面推进城市生态环境建设，注重城市生态功能完善，城市建设管理综合水平提升，城乡人居环境品质提升。持续深化园林城市工作创建，形成一批可复制可推广的经验。</w:t>
      </w:r>
    </w:p>
    <w:p>
      <w:pPr>
        <w:adjustRightInd w:val="0"/>
        <w:snapToGrid w:val="0"/>
        <w:ind w:firstLine="560"/>
        <w:rPr>
          <w:rFonts w:ascii="宋体" w:hAnsi="宋体"/>
          <w:color w:val="000000"/>
        </w:rPr>
      </w:pPr>
      <w:r>
        <w:rPr>
          <w:rFonts w:hint="eastAsia" w:ascii="宋体" w:hAnsi="宋体"/>
          <w:color w:val="000000"/>
        </w:rPr>
        <w:t>“十四五”期间，将进一步树牢生态优先、绿色发展理念，不断深化巩固国家园林城市创建成果，持续推进国家低碳试点城市和气候适应型试点城市建设，重视保护城市自然山水格局，统筹山水林田湖草系统治理，实施重大生态系统保护修复工程、生物多样性保护工程和森林质量精准提升工程，新增城市绿道</w:t>
      </w:r>
      <w:r>
        <w:rPr>
          <w:rFonts w:ascii="宋体" w:hAnsi="宋体"/>
          <w:color w:val="000000"/>
        </w:rPr>
        <w:t>20公里以上，加快嘉陵江环湖滨水、芳香南山、黑石坡森林公园、皇泽禅院、乌龙山森林公园等生态休闲公园项目建设，建成主城区至东部片区平乐寺景区等绿道项目、袁家坝滨江路生态修复景观提升等城市生态绿地项目，形成“城在景中、景在城中”的生态宜居山水园</w:t>
      </w:r>
      <w:r>
        <w:rPr>
          <w:rFonts w:hint="eastAsia" w:ascii="宋体" w:hAnsi="宋体"/>
          <w:color w:val="000000"/>
        </w:rPr>
        <w:t>林城市。</w:t>
      </w:r>
    </w:p>
    <w:tbl>
      <w:tblPr>
        <w:tblStyle w:val="18"/>
        <w:tblW w:w="9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vAlign w:val="top"/>
          </w:tcPr>
          <w:p>
            <w:pPr>
              <w:ind w:firstLine="0" w:firstLineChars="0"/>
              <w:jc w:val="center"/>
              <w:rPr>
                <w:rFonts w:ascii="宋体" w:hAnsi="宋体"/>
                <w:b/>
                <w:color w:val="000000"/>
                <w:sz w:val="24"/>
                <w:szCs w:val="24"/>
              </w:rPr>
            </w:pPr>
            <w:r>
              <w:rPr>
                <w:rFonts w:hint="eastAsia" w:ascii="宋体" w:hAnsi="宋体"/>
                <w:b/>
                <w:color w:val="000000"/>
                <w:sz w:val="24"/>
                <w:szCs w:val="24"/>
              </w:rPr>
              <w:t>专栏</w:t>
            </w:r>
            <w:r>
              <w:rPr>
                <w:rFonts w:ascii="宋体" w:hAnsi="宋体"/>
                <w:b/>
                <w:color w:val="000000"/>
                <w:sz w:val="24"/>
                <w:szCs w:val="24"/>
              </w:rPr>
              <w:t>3-2</w:t>
            </w:r>
            <w:r>
              <w:rPr>
                <w:rFonts w:hint="eastAsia" w:ascii="宋体" w:hAnsi="宋体"/>
                <w:b/>
                <w:color w:val="000000"/>
                <w:sz w:val="24"/>
                <w:szCs w:val="24"/>
              </w:rPr>
              <w:t>构建城市绿色空间系统专项行动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vAlign w:val="top"/>
          </w:tcPr>
          <w:p>
            <w:pPr>
              <w:adjustRightInd w:val="0"/>
              <w:snapToGrid w:val="0"/>
              <w:ind w:firstLine="0" w:firstLineChars="0"/>
              <w:jc w:val="left"/>
            </w:pPr>
            <w:r>
              <w:rPr>
                <w:rFonts w:hint="eastAsia" w:ascii="宋体" w:hAnsi="宋体"/>
                <w:b/>
                <w:color w:val="000000"/>
                <w:sz w:val="22"/>
              </w:rPr>
              <w:t>1.城市公园绿地建设工程。</w:t>
            </w:r>
            <w:r>
              <w:rPr>
                <w:rFonts w:hint="eastAsia" w:ascii="宋体" w:hAnsi="宋体"/>
                <w:color w:val="000000"/>
                <w:sz w:val="22"/>
              </w:rPr>
              <w:t>加快实施主城区体育公园、翠鸣谷公园、田坝子大桥北侧体育公园、“两江四岸”活力岸线项目—栖凤湖生态岸线综合提升改造项目、两江口公园提升改造、南河湿地公园提升改造项目、百草园景观生态修复项目、苍溪县杜里坝中央公园、苍溪县白鹤山森林公园、旺苍县红色文化主题公园等项目建设。</w:t>
            </w:r>
          </w:p>
          <w:p>
            <w:pPr>
              <w:adjustRightInd w:val="0"/>
              <w:snapToGrid w:val="0"/>
              <w:ind w:firstLine="0" w:firstLineChars="0"/>
              <w:jc w:val="left"/>
              <w:rPr>
                <w:rFonts w:ascii="宋体" w:hAnsi="宋体"/>
                <w:color w:val="000000"/>
                <w:sz w:val="22"/>
              </w:rPr>
            </w:pPr>
            <w:r>
              <w:rPr>
                <w:rFonts w:hint="eastAsia" w:ascii="宋体" w:hAnsi="宋体"/>
                <w:b/>
                <w:color w:val="000000"/>
                <w:sz w:val="22"/>
              </w:rPr>
              <w:t>2.城市绿道</w:t>
            </w:r>
            <w:r>
              <w:rPr>
                <w:rFonts w:ascii="宋体" w:hAnsi="宋体"/>
                <w:b/>
                <w:color w:val="000000"/>
                <w:sz w:val="22"/>
              </w:rPr>
              <w:t>建设工程</w:t>
            </w:r>
            <w:r>
              <w:rPr>
                <w:rFonts w:hint="eastAsia" w:ascii="宋体" w:hAnsi="宋体"/>
                <w:b/>
                <w:color w:val="000000"/>
                <w:sz w:val="22"/>
              </w:rPr>
              <w:t>。</w:t>
            </w:r>
            <w:r>
              <w:rPr>
                <w:rFonts w:hint="eastAsia" w:ascii="宋体" w:hAnsi="宋体"/>
                <w:color w:val="000000"/>
                <w:sz w:val="22"/>
              </w:rPr>
              <w:t>新增城市绿道 20 公里以上，加快嘉陵江环湖滨水、芳香南山、黑石坡森林公园、小南山森林公园、乌龙山森林公园等生态休闲公园项目建设，建成主城区至三江新区等绿道项目。</w:t>
            </w:r>
          </w:p>
          <w:p>
            <w:pPr>
              <w:adjustRightInd w:val="0"/>
              <w:snapToGrid w:val="0"/>
              <w:ind w:firstLine="0" w:firstLineChars="0"/>
              <w:jc w:val="left"/>
              <w:rPr>
                <w:rFonts w:ascii="宋体" w:hAnsi="宋体"/>
                <w:color w:val="000000"/>
                <w:sz w:val="22"/>
              </w:rPr>
            </w:pPr>
            <w:r>
              <w:rPr>
                <w:rFonts w:hint="eastAsia" w:ascii="宋体" w:hAnsi="宋体"/>
                <w:b/>
                <w:color w:val="000000"/>
                <w:sz w:val="22"/>
              </w:rPr>
              <w:t>3.</w:t>
            </w:r>
            <w:r>
              <w:rPr>
                <w:rFonts w:ascii="宋体" w:hAnsi="宋体"/>
                <w:b/>
                <w:color w:val="000000"/>
                <w:sz w:val="22"/>
              </w:rPr>
              <w:t>绿色街道</w:t>
            </w:r>
            <w:r>
              <w:rPr>
                <w:rFonts w:hint="eastAsia" w:ascii="宋体" w:hAnsi="宋体"/>
                <w:b/>
                <w:color w:val="000000"/>
                <w:sz w:val="22"/>
              </w:rPr>
              <w:t>、</w:t>
            </w:r>
            <w:r>
              <w:rPr>
                <w:rFonts w:ascii="宋体" w:hAnsi="宋体"/>
                <w:b/>
                <w:color w:val="000000"/>
                <w:sz w:val="22"/>
              </w:rPr>
              <w:t>绿色社区</w:t>
            </w:r>
            <w:r>
              <w:rPr>
                <w:rFonts w:hint="eastAsia" w:ascii="宋体" w:hAnsi="宋体"/>
                <w:b/>
                <w:color w:val="000000"/>
                <w:sz w:val="22"/>
              </w:rPr>
              <w:t>建设</w:t>
            </w:r>
            <w:r>
              <w:rPr>
                <w:rFonts w:ascii="宋体" w:hAnsi="宋体"/>
                <w:b/>
                <w:color w:val="000000"/>
                <w:sz w:val="22"/>
              </w:rPr>
              <w:t>工程：</w:t>
            </w:r>
            <w:r>
              <w:rPr>
                <w:rFonts w:hint="eastAsia" w:ascii="宋体" w:hAnsi="宋体"/>
                <w:color w:val="000000"/>
                <w:sz w:val="22"/>
              </w:rPr>
              <w:t>完善绿色街道相关标准体系，实施街道绿化美化专项行动。至</w:t>
            </w:r>
            <w:r>
              <w:rPr>
                <w:rFonts w:ascii="宋体" w:hAnsi="宋体"/>
                <w:color w:val="000000"/>
                <w:sz w:val="22"/>
              </w:rPr>
              <w:t>2025年，</w:t>
            </w:r>
            <w:r>
              <w:rPr>
                <w:rFonts w:hint="eastAsia" w:ascii="宋体" w:hAnsi="宋体"/>
                <w:color w:val="000000"/>
                <w:sz w:val="22"/>
              </w:rPr>
              <w:t>中心城区绿色街道建设量不少于</w:t>
            </w:r>
            <w:r>
              <w:rPr>
                <w:rFonts w:ascii="宋体" w:hAnsi="宋体"/>
                <w:color w:val="000000"/>
                <w:sz w:val="22"/>
              </w:rPr>
              <w:t>2公里。林荫路不少于5公里。2025年，绿</w:t>
            </w:r>
            <w:r>
              <w:rPr>
                <w:rFonts w:hint="eastAsia" w:ascii="宋体" w:hAnsi="宋体"/>
                <w:color w:val="000000"/>
                <w:sz w:val="22"/>
              </w:rPr>
              <w:t>色社区创建行动取得显著成效，全市</w:t>
            </w:r>
            <w:r>
              <w:rPr>
                <w:rFonts w:ascii="宋体" w:hAnsi="宋体"/>
                <w:color w:val="000000"/>
                <w:sz w:val="22"/>
              </w:rPr>
              <w:t>60%以上的城市社区参与创建行动并达到</w:t>
            </w:r>
            <w:r>
              <w:rPr>
                <w:rFonts w:hint="eastAsia" w:ascii="宋体" w:hAnsi="宋体"/>
                <w:color w:val="000000"/>
                <w:sz w:val="22"/>
              </w:rPr>
              <w:t>创建要求，基本实现社区人居环境整治、舒适、安全、美丽的目标。</w:t>
            </w:r>
          </w:p>
        </w:tc>
      </w:tr>
    </w:tbl>
    <w:p>
      <w:pPr>
        <w:pStyle w:val="5"/>
        <w:numPr>
          <w:numId w:val="0"/>
        </w:numPr>
        <w:spacing w:before="190"/>
        <w:rPr>
          <w:rFonts w:ascii="宋体" w:hAnsi="宋体"/>
          <w:color w:val="000000"/>
        </w:rPr>
      </w:pPr>
      <w:bookmarkStart w:id="224" w:name="_Toc118566563"/>
      <w:bookmarkStart w:id="225" w:name="_Toc118566697"/>
      <w:bookmarkStart w:id="226" w:name="_Toc118566297"/>
      <w:bookmarkStart w:id="227" w:name="_Toc119916744"/>
      <w:bookmarkStart w:id="228" w:name="_Toc118566430"/>
      <w:r>
        <w:rPr>
          <w:rFonts w:hint="eastAsia" w:ascii="宋体" w:hAnsi="宋体"/>
          <w:color w:val="000000"/>
        </w:rPr>
        <w:t>五、加快海绵城市建设</w:t>
      </w:r>
      <w:bookmarkEnd w:id="224"/>
      <w:bookmarkEnd w:id="225"/>
      <w:bookmarkEnd w:id="226"/>
      <w:bookmarkEnd w:id="227"/>
      <w:bookmarkEnd w:id="228"/>
    </w:p>
    <w:p>
      <w:pPr>
        <w:pStyle w:val="9"/>
        <w:adjustRightInd w:val="0"/>
        <w:snapToGrid w:val="0"/>
        <w:rPr>
          <w:color w:val="000000"/>
        </w:rPr>
      </w:pPr>
      <w:r>
        <w:rPr>
          <w:rFonts w:hint="eastAsia"/>
          <w:color w:val="000000"/>
        </w:rPr>
        <w:t>自</w:t>
      </w:r>
      <w:r>
        <w:rPr>
          <w:color w:val="000000"/>
        </w:rPr>
        <w:t>2015年国家启动海绵城市建设以来，广元市坚持将海绵城市建设作为落实生态文明绿色发展的重要举措，以提升城市防洪排涝能力、节约水资源、保护和改善城市生态环境为目标，系统化全域推进海绵城市建设。制定了《广元市海绵城市专项规划（2016-2030）》，明确到2030年，实现城市建成区70%以上面积达到海绵城市建设要求；</w:t>
      </w:r>
      <w:r>
        <w:rPr>
          <w:rFonts w:hint="eastAsia"/>
          <w:color w:val="000000"/>
        </w:rPr>
        <w:t>2</w:t>
      </w:r>
      <w:r>
        <w:rPr>
          <w:color w:val="000000"/>
        </w:rPr>
        <w:t>022</w:t>
      </w:r>
      <w:r>
        <w:rPr>
          <w:rFonts w:hint="eastAsia"/>
          <w:color w:val="000000"/>
        </w:rPr>
        <w:t>年6月，广元入选</w:t>
      </w:r>
      <w:r>
        <w:rPr>
          <w:color w:val="000000"/>
        </w:rPr>
        <w:t>2022年度系统化全域推进海绵城市建设国家级示范城市</w:t>
      </w:r>
      <w:r>
        <w:rPr>
          <w:rFonts w:hint="eastAsia"/>
          <w:color w:val="000000"/>
        </w:rPr>
        <w:t>，2</w:t>
      </w:r>
      <w:r>
        <w:rPr>
          <w:color w:val="000000"/>
        </w:rPr>
        <w:t>022</w:t>
      </w:r>
      <w:r>
        <w:rPr>
          <w:rFonts w:hint="eastAsia"/>
          <w:color w:val="000000"/>
        </w:rPr>
        <w:t>年</w:t>
      </w:r>
      <w:r>
        <w:rPr>
          <w:color w:val="000000"/>
        </w:rPr>
        <w:t>7月，《广元市海绵城市建设管理条例（草案）》立法工作会议召开，从法规层面规范海绵城市规划、建设、运行、维护及管理工作，加快海绵城市建设步伐。</w:t>
      </w:r>
    </w:p>
    <w:p>
      <w:pPr>
        <w:pStyle w:val="9"/>
        <w:adjustRightInd w:val="0"/>
        <w:snapToGrid w:val="0"/>
        <w:rPr>
          <w:color w:val="000000"/>
        </w:rPr>
      </w:pPr>
      <w:r>
        <w:rPr>
          <w:rFonts w:hint="eastAsia"/>
          <w:color w:val="000000"/>
        </w:rPr>
        <w:t>十四五期间</w:t>
      </w:r>
      <w:r>
        <w:rPr>
          <w:color w:val="000000"/>
        </w:rPr>
        <w:t>，广元市将充分运用国家海绵城市建设工作经验和成果，整合项目资金，加快补齐城市基础设施短板，促进形成生态、安全、可持续的城市水循环系统，全面提升城市防洪排涝能力和城市功能品质形象，实现城市不仅有“面子”更有“里子”。</w:t>
      </w:r>
    </w:p>
    <w:p>
      <w:pPr>
        <w:pStyle w:val="9"/>
        <w:adjustRightInd w:val="0"/>
        <w:snapToGrid w:val="0"/>
        <w:rPr>
          <w:color w:val="000000"/>
        </w:rPr>
      </w:pPr>
      <w:r>
        <w:rPr>
          <w:rFonts w:hint="eastAsia"/>
          <w:color w:val="000000"/>
        </w:rPr>
        <w:t>在流域层面，全市将实施嘉陵江、南河等防洪能力建设，用好亭子口、宝珠寺等水库防洪调蓄功能，提升改造栖凤湖、南河等公园，增强全域水源涵养能力；在设施层面，统筹建设堤防、泵站、排水管道、调蓄水体等设施，打通城周河湖排涝通道，开展排水管网混错接和破损点的修复，建设生态、安全、可持续的城市水循环系统。</w:t>
      </w:r>
    </w:p>
    <w:p>
      <w:pPr>
        <w:pStyle w:val="9"/>
        <w:adjustRightInd w:val="0"/>
        <w:snapToGrid w:val="0"/>
        <w:rPr>
          <w:color w:val="000000"/>
        </w:rPr>
      </w:pPr>
      <w:r>
        <w:rPr>
          <w:rFonts w:hint="eastAsia"/>
          <w:color w:val="000000"/>
        </w:rPr>
        <w:t>在城市层面，重点治理城市周边的山洪沟、完成城市内涝点整治，加强河水倒灌防治，严格管控新建城区规划，完善排水防涝监管信息化平台，持续增强城区防洪治涝能力；在社区层面，综合采用“渗、滞、蓄、净、用、排”措施，建设雨水花园、下沉式绿地、植草沟、透水铺装等源头海绵设施，促进雨水资源化利用，打造高品质公共环境。</w:t>
      </w:r>
    </w:p>
    <w:p>
      <w:pPr>
        <w:pStyle w:val="9"/>
        <w:adjustRightInd w:val="0"/>
        <w:snapToGrid w:val="0"/>
        <w:rPr>
          <w:rFonts w:hint="eastAsia" w:ascii="SourceHanSansCN" w:hAnsi="SourceHanSansCN"/>
          <w:color w:val="000000"/>
        </w:rPr>
      </w:pPr>
      <w:r>
        <w:rPr>
          <w:rFonts w:hint="eastAsia" w:ascii="SourceHanSansCN" w:hAnsi="SourceHanSansCN"/>
          <w:color w:val="000000"/>
        </w:rPr>
        <w:t>在</w:t>
      </w:r>
      <w:r>
        <w:rPr>
          <w:rFonts w:ascii="SourceHanSansCN" w:hAnsi="SourceHanSansCN"/>
          <w:color w:val="000000"/>
        </w:rPr>
        <w:t>设施层面，着眼提升污水收集处理效能，开展城区排水管网的混错接和破损点修复，消除雨污水混接错接和末端截流，实现真正雨污分流，提升污水处理厂进水浓度。开展以老城区为主体的源头小区雨污分流和海绵化建设，控制城市面源污染，有效改善河湖雨天水质，实现“一江清水出广元”，为保护长江贡献广元力量。</w:t>
      </w:r>
    </w:p>
    <w:tbl>
      <w:tblPr>
        <w:tblStyle w:val="18"/>
        <w:tblW w:w="9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vAlign w:val="top"/>
          </w:tcPr>
          <w:p>
            <w:pPr>
              <w:ind w:firstLine="0" w:firstLineChars="0"/>
              <w:jc w:val="center"/>
              <w:rPr>
                <w:rFonts w:ascii="宋体" w:hAnsi="宋体"/>
                <w:b/>
                <w:color w:val="000000"/>
                <w:sz w:val="24"/>
                <w:szCs w:val="24"/>
              </w:rPr>
            </w:pPr>
            <w:r>
              <w:rPr>
                <w:rFonts w:hint="eastAsia" w:ascii="宋体" w:hAnsi="宋体"/>
                <w:b/>
                <w:color w:val="000000"/>
                <w:sz w:val="24"/>
                <w:szCs w:val="24"/>
              </w:rPr>
              <w:t>专栏</w:t>
            </w:r>
            <w:r>
              <w:rPr>
                <w:rFonts w:ascii="宋体" w:hAnsi="宋体"/>
                <w:b/>
                <w:color w:val="000000"/>
                <w:sz w:val="24"/>
                <w:szCs w:val="24"/>
              </w:rPr>
              <w:t xml:space="preserve">3-3 </w:t>
            </w:r>
            <w:r>
              <w:rPr>
                <w:rFonts w:hint="eastAsia" w:ascii="宋体" w:hAnsi="宋体"/>
                <w:b/>
                <w:color w:val="000000"/>
                <w:sz w:val="24"/>
                <w:szCs w:val="24"/>
              </w:rPr>
              <w:t>海绵城市建设行动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vAlign w:val="top"/>
          </w:tcPr>
          <w:p>
            <w:pPr>
              <w:adjustRightInd w:val="0"/>
              <w:snapToGrid w:val="0"/>
              <w:ind w:firstLine="0" w:firstLineChars="0"/>
              <w:jc w:val="left"/>
              <w:rPr>
                <w:rFonts w:ascii="宋体" w:hAnsi="宋体"/>
                <w:color w:val="000000"/>
                <w:sz w:val="22"/>
              </w:rPr>
            </w:pPr>
            <w:r>
              <w:rPr>
                <w:rFonts w:hint="eastAsia" w:ascii="宋体" w:hAnsi="宋体"/>
                <w:color w:val="000000"/>
                <w:sz w:val="22"/>
              </w:rPr>
              <w:t>十四五期间，广元市将系统化全域推进海绵城市建设，围绕海绵城市建设国家级示范城市目标绩效考核体系，有针对性的从流域层面、城市层面、基础设施层面和社区层面实施一批示范项目（具体详见海绵城市示范项目清单），同时推进海绵城市全过程管控，积极推进海绵型建筑与小区、海绵型道路与广场、海绵型公园与绿地、雨水调蓄与净化利用等设施建设，使得建成区海绵城市面积占比在2</w:t>
            </w:r>
            <w:r>
              <w:rPr>
                <w:rFonts w:ascii="宋体" w:hAnsi="宋体"/>
                <w:color w:val="000000"/>
                <w:sz w:val="22"/>
              </w:rPr>
              <w:t>025</w:t>
            </w:r>
            <w:r>
              <w:rPr>
                <w:rFonts w:hint="eastAsia" w:ascii="宋体" w:hAnsi="宋体"/>
                <w:color w:val="000000"/>
                <w:sz w:val="22"/>
              </w:rPr>
              <w:t>年达到</w:t>
            </w:r>
            <w:r>
              <w:rPr>
                <w:rFonts w:ascii="宋体" w:hAnsi="宋体"/>
                <w:color w:val="000000"/>
                <w:sz w:val="22"/>
              </w:rPr>
              <w:t>50%</w:t>
            </w:r>
            <w:r>
              <w:rPr>
                <w:rFonts w:hint="eastAsia" w:ascii="宋体" w:hAnsi="宋体"/>
                <w:color w:val="000000"/>
                <w:sz w:val="22"/>
              </w:rPr>
              <w:t>。</w:t>
            </w:r>
          </w:p>
        </w:tc>
      </w:tr>
    </w:tbl>
    <w:p>
      <w:pPr>
        <w:pStyle w:val="5"/>
        <w:numPr>
          <w:numId w:val="0"/>
        </w:numPr>
        <w:spacing w:before="190"/>
        <w:rPr>
          <w:rFonts w:ascii="宋体" w:hAnsi="宋体"/>
          <w:color w:val="000000"/>
        </w:rPr>
      </w:pPr>
      <w:bookmarkStart w:id="229" w:name="_Toc118566564"/>
      <w:bookmarkStart w:id="230" w:name="_Toc118566431"/>
      <w:bookmarkStart w:id="231" w:name="_Toc118566298"/>
      <w:bookmarkStart w:id="232" w:name="_Toc118566698"/>
      <w:bookmarkStart w:id="233" w:name="_Toc119916745"/>
      <w:r>
        <w:rPr>
          <w:rFonts w:hint="eastAsia" w:ascii="宋体" w:hAnsi="宋体"/>
          <w:color w:val="000000"/>
        </w:rPr>
        <w:t>六、推动城市功能完善</w:t>
      </w:r>
      <w:bookmarkEnd w:id="229"/>
      <w:bookmarkEnd w:id="230"/>
      <w:bookmarkEnd w:id="231"/>
      <w:bookmarkEnd w:id="232"/>
      <w:bookmarkEnd w:id="233"/>
    </w:p>
    <w:p>
      <w:pPr>
        <w:pStyle w:val="6"/>
        <w:ind w:firstLine="141"/>
        <w:rPr>
          <w:color w:val="000000"/>
        </w:rPr>
      </w:pPr>
      <w:bookmarkStart w:id="234" w:name="_Toc118566565"/>
      <w:bookmarkStart w:id="235" w:name="_Toc118566432"/>
      <w:bookmarkStart w:id="236" w:name="_Toc118566699"/>
      <w:bookmarkStart w:id="237" w:name="_Toc118566299"/>
      <w:r>
        <w:rPr>
          <w:rFonts w:hint="eastAsia"/>
          <w:color w:val="000000"/>
        </w:rPr>
        <w:t>（一）完善公共服务体系</w:t>
      </w:r>
      <w:bookmarkEnd w:id="234"/>
      <w:bookmarkEnd w:id="235"/>
      <w:bookmarkEnd w:id="236"/>
      <w:bookmarkEnd w:id="237"/>
    </w:p>
    <w:p>
      <w:pPr>
        <w:pStyle w:val="7"/>
        <w:tabs>
          <w:tab w:val="left" w:pos="720"/>
        </w:tabs>
        <w:adjustRightInd w:val="0"/>
        <w:snapToGrid w:val="0"/>
        <w:rPr>
          <w:rFonts w:ascii="宋体" w:hAnsi="宋体"/>
          <w:color w:val="000000"/>
        </w:rPr>
      </w:pPr>
      <w:r>
        <w:rPr>
          <w:rFonts w:ascii="宋体" w:hAnsi="宋体"/>
          <w:color w:val="000000"/>
        </w:rPr>
        <w:t>1</w:t>
      </w:r>
      <w:r>
        <w:rPr>
          <w:rFonts w:hint="eastAsia" w:ascii="宋体" w:hAnsi="宋体"/>
          <w:color w:val="000000"/>
        </w:rPr>
        <w:t>.</w:t>
      </w:r>
      <w:r>
        <w:rPr>
          <w:rFonts w:ascii="宋体" w:hAnsi="宋体"/>
          <w:color w:val="000000"/>
        </w:rPr>
        <w:t>加强城市基础教育资源供给</w:t>
      </w:r>
    </w:p>
    <w:p>
      <w:pPr>
        <w:adjustRightInd w:val="0"/>
        <w:snapToGrid w:val="0"/>
        <w:ind w:firstLine="560"/>
        <w:rPr>
          <w:rFonts w:ascii="宋体" w:hAnsi="宋体"/>
          <w:color w:val="000000"/>
        </w:rPr>
      </w:pPr>
      <w:r>
        <w:rPr>
          <w:rFonts w:hint="eastAsia" w:ascii="宋体" w:hAnsi="宋体"/>
          <w:color w:val="000000"/>
          <w:shd w:val="clear" w:color="auto" w:fill="FFFFFF"/>
        </w:rPr>
        <w:t>深入推进学前教育普及普惠发展，优化学前教育资源配置，提升“学前学普”行动质量，</w:t>
      </w:r>
      <w:r>
        <w:rPr>
          <w:rFonts w:hint="eastAsia" w:ascii="宋体" w:hAnsi="宋体"/>
          <w:color w:val="000000"/>
        </w:rPr>
        <w:t>“十四五”期间</w:t>
      </w:r>
      <w:r>
        <w:rPr>
          <w:rFonts w:ascii="宋体" w:hAnsi="宋体"/>
          <w:color w:val="000000"/>
        </w:rPr>
        <w:t>，</w:t>
      </w:r>
      <w:r>
        <w:rPr>
          <w:rFonts w:hint="eastAsia" w:ascii="宋体" w:hAnsi="宋体"/>
          <w:color w:val="000000"/>
        </w:rPr>
        <w:t>深入实施教育提质工程。稳步推进高等教育发展，力争创建本科院校</w:t>
      </w:r>
      <w:r>
        <w:rPr>
          <w:rFonts w:ascii="宋体" w:hAnsi="宋体"/>
          <w:color w:val="000000"/>
        </w:rPr>
        <w:t>1所。推进教育资源布局调整，开展中心城区及偏远乡镇公办幼儿园建设攻坚，新改（扩）建公办幼儿园150所。引导小学向乡镇集中、初中向中心城镇集中，创建40所城乡省级义务教育办学管理标准校。持续打造“优质高中教育”“研学实践教育”“特色职业教育”三张名片，培育省级引领性示范普通高中和特色办学普通高中10所，提升昭化、朝天、青川高中教育质量。加快三江科教园建设，推进职业教育集群发展，建设产教融合示范园区，新设置高职院校1所，建设示范中职学校6所。推进广元市示范性综合实践基地扩容</w:t>
      </w:r>
      <w:r>
        <w:rPr>
          <w:rFonts w:hint="eastAsia" w:ascii="宋体" w:hAnsi="宋体"/>
          <w:color w:val="000000"/>
        </w:rPr>
        <w:t>提质，打造区域研学实践教育中心。支持特殊教育向学前和高中阶段延伸。严格落实“双减”要求，降低社会教育成本。规范发展民办教育。建设广元科学中心，提升全民科学素养。</w:t>
      </w:r>
    </w:p>
    <w:p>
      <w:pPr>
        <w:pStyle w:val="7"/>
        <w:tabs>
          <w:tab w:val="left" w:pos="720"/>
        </w:tabs>
        <w:adjustRightInd w:val="0"/>
        <w:snapToGrid w:val="0"/>
        <w:rPr>
          <w:rFonts w:ascii="宋体" w:hAnsi="宋体"/>
          <w:color w:val="000000"/>
        </w:rPr>
      </w:pPr>
      <w:r>
        <w:rPr>
          <w:rFonts w:ascii="宋体" w:hAnsi="宋体"/>
          <w:color w:val="000000"/>
        </w:rPr>
        <w:t>2</w:t>
      </w:r>
      <w:r>
        <w:rPr>
          <w:rFonts w:hint="eastAsia" w:ascii="宋体" w:hAnsi="宋体"/>
          <w:color w:val="000000"/>
        </w:rPr>
        <w:t>.完善公共卫生防治体系</w:t>
      </w:r>
    </w:p>
    <w:p>
      <w:pPr>
        <w:adjustRightInd w:val="0"/>
        <w:snapToGrid w:val="0"/>
        <w:ind w:firstLine="560"/>
        <w:rPr>
          <w:rFonts w:ascii="宋体" w:hAnsi="宋体"/>
          <w:color w:val="000000"/>
        </w:rPr>
      </w:pPr>
      <w:r>
        <w:rPr>
          <w:rFonts w:hint="eastAsia" w:ascii="宋体" w:hAnsi="宋体"/>
          <w:color w:val="000000"/>
        </w:rPr>
        <w:t>补齐医疗卫生短板，提升社区卫生服务中心（站）、乡镇卫生院和村卫生室基础设施标准化建设水平，加强妇幼保健机构、综合性医院传染病、精神疾病诊疗能力和传染病专科医院建设。“十四五”期间</w:t>
      </w:r>
      <w:r>
        <w:rPr>
          <w:rFonts w:ascii="宋体" w:hAnsi="宋体"/>
          <w:color w:val="000000"/>
        </w:rPr>
        <w:t>，</w:t>
      </w:r>
      <w:r>
        <w:rPr>
          <w:rFonts w:hint="eastAsia" w:ascii="宋体" w:hAnsi="宋体"/>
          <w:color w:val="000000"/>
        </w:rPr>
        <w:t>深入实施健康守护工程。坚持以“治病为中心”向“以人民健康为中心”转变，深入推进“健康广元”建设，全面提升公共卫生服务水平。整体推进疾病预防控制体系建设，提升卫生应急能力，抓好新冠肺炎等重大疫情防控。健全完善覆盖全民的社会保障体系，落实基本养老、医疗、大病、工伤保险等保障制度，优化社会救助和慈善制度，有效减轻群众生活负担，织密织牢高质量医疗医保服务网、基本公共卫生防护网、重大疾病救助兜底网，全方位全周期守护群众生命健康。优化医疗卫生资源布局，完善以“一主、四副、两分、多点”为核心的医疗卫生服务体系，加快川陕甘结合部临床医疗、中医医疗等“五大中心”建设，建成省级区域医疗中心、市第一人民医院新院区等项目，创建国家级重点专科</w:t>
      </w:r>
      <w:r>
        <w:rPr>
          <w:rFonts w:ascii="宋体" w:hAnsi="宋体"/>
          <w:color w:val="000000"/>
        </w:rPr>
        <w:t>2个以上、省级10个以上，加快建设川陕甘结合部区域医疗中心。加强医联体建设，建成10个县域医疗卫生次中心。加强妇幼健康服务，深化落实家庭医生签约服务机制，让群众在家门口享受优质医疗服务</w:t>
      </w:r>
      <w:r>
        <w:rPr>
          <w:rFonts w:hint="eastAsia" w:ascii="宋体" w:hAnsi="宋体"/>
          <w:color w:val="000000"/>
        </w:rPr>
        <w:t>。</w:t>
      </w:r>
    </w:p>
    <w:p>
      <w:pPr>
        <w:pStyle w:val="7"/>
        <w:tabs>
          <w:tab w:val="left" w:pos="720"/>
        </w:tabs>
        <w:adjustRightInd w:val="0"/>
        <w:snapToGrid w:val="0"/>
        <w:rPr>
          <w:rFonts w:ascii="宋体" w:hAnsi="宋体"/>
          <w:color w:val="000000"/>
        </w:rPr>
      </w:pPr>
      <w:r>
        <w:rPr>
          <w:rFonts w:hint="eastAsia" w:ascii="宋体" w:hAnsi="宋体"/>
          <w:color w:val="000000"/>
        </w:rPr>
        <w:t>3.构建文体</w:t>
      </w:r>
      <w:r>
        <w:rPr>
          <w:rFonts w:ascii="宋体" w:hAnsi="宋体"/>
          <w:color w:val="000000"/>
        </w:rPr>
        <w:t>设施</w:t>
      </w:r>
      <w:r>
        <w:rPr>
          <w:rFonts w:hint="eastAsia" w:ascii="宋体" w:hAnsi="宋体"/>
          <w:color w:val="000000"/>
        </w:rPr>
        <w:t>服务体系</w:t>
      </w:r>
    </w:p>
    <w:p>
      <w:pPr>
        <w:adjustRightInd w:val="0"/>
        <w:snapToGrid w:val="0"/>
        <w:ind w:firstLine="560"/>
        <w:rPr>
          <w:rFonts w:ascii="宋体" w:hAnsi="宋体"/>
          <w:color w:val="000000"/>
        </w:rPr>
      </w:pPr>
      <w:r>
        <w:rPr>
          <w:rFonts w:hint="eastAsia" w:ascii="宋体" w:hAnsi="宋体"/>
          <w:color w:val="000000"/>
        </w:rPr>
        <w:t>补齐公共文化短板，推动落实国家基本公共文化服务指导标准和省市实施标准，积极推进公共图书馆、文化馆等公共文化设施达标建设，加快完善乡镇、村综合性文化设施条件，提高公共文化阵地使用效能，引导规范城乡文艺团体发展。补齐公共体育短板，加强县级公共体育场、全民健身中心、健身步道、体育健身公园、社区多功能运动场、社会足球场等公共体育设施建设。着力解决基层公共文体设施闲置、应用不充分的问题。补齐公共就业创业服务短板，压实各级党委政府促进就业责任，加强工作力量配备，保持工作队伍稳定，实施持证上岗制度，拓展就业创业服务供给渠道，不断提升基层公共就业创业服务能力和水平。</w:t>
      </w:r>
    </w:p>
    <w:p>
      <w:pPr>
        <w:pStyle w:val="7"/>
        <w:tabs>
          <w:tab w:val="left" w:pos="720"/>
        </w:tabs>
        <w:adjustRightInd w:val="0"/>
        <w:snapToGrid w:val="0"/>
        <w:rPr>
          <w:rFonts w:ascii="宋体" w:hAnsi="宋体"/>
          <w:color w:val="000000"/>
        </w:rPr>
      </w:pPr>
      <w:r>
        <w:rPr>
          <w:rFonts w:ascii="宋体" w:hAnsi="宋体"/>
          <w:color w:val="000000"/>
        </w:rPr>
        <w:t>4</w:t>
      </w:r>
      <w:r>
        <w:rPr>
          <w:rFonts w:hint="eastAsia" w:ascii="宋体" w:hAnsi="宋体"/>
          <w:color w:val="000000"/>
        </w:rPr>
        <w:t>.</w:t>
      </w:r>
      <w:r>
        <w:rPr>
          <w:rFonts w:ascii="宋体" w:hAnsi="宋体"/>
          <w:color w:val="000000"/>
        </w:rPr>
        <w:t>优化社区综合服务网络</w:t>
      </w:r>
    </w:p>
    <w:p>
      <w:pPr>
        <w:adjustRightInd w:val="0"/>
        <w:snapToGrid w:val="0"/>
        <w:ind w:firstLine="560"/>
        <w:rPr>
          <w:rFonts w:ascii="宋体" w:hAnsi="宋体"/>
          <w:color w:val="000000"/>
        </w:rPr>
      </w:pPr>
      <w:r>
        <w:rPr>
          <w:rFonts w:hint="eastAsia" w:ascii="宋体" w:hAnsi="宋体"/>
          <w:color w:val="000000"/>
        </w:rPr>
        <w:t>继续完善以社区综合服务设施为依托、专项服务设施为补充、服务网点为配套、社区信息平台为支撑的广元市智慧社区综合服务平台建设。推动社区综合服务设施与社区党建、社区网格治理、事件管理、应急管理、疫情防控、社区防控及预警、指挥调度、物业管理、公共服务、防贫监测预警、就业服务等服务设施统筹规划建设，</w:t>
      </w:r>
      <w:r>
        <w:rPr>
          <w:rFonts w:ascii="宋体" w:hAnsi="宋体"/>
          <w:color w:val="000000"/>
        </w:rPr>
        <w:t>实现“十五分钟生活圈”</w:t>
      </w:r>
      <w:r>
        <w:rPr>
          <w:rFonts w:hint="eastAsia" w:ascii="宋体" w:hAnsi="宋体"/>
          <w:color w:val="000000"/>
        </w:rPr>
        <w:t>综合服务全覆盖。</w:t>
      </w:r>
    </w:p>
    <w:p>
      <w:pPr>
        <w:pStyle w:val="7"/>
        <w:tabs>
          <w:tab w:val="left" w:pos="720"/>
        </w:tabs>
        <w:adjustRightInd w:val="0"/>
        <w:snapToGrid w:val="0"/>
        <w:rPr>
          <w:rFonts w:ascii="宋体" w:hAnsi="宋体"/>
          <w:color w:val="000000"/>
        </w:rPr>
      </w:pPr>
      <w:r>
        <w:rPr>
          <w:rFonts w:hint="eastAsia" w:ascii="宋体" w:hAnsi="宋体"/>
          <w:color w:val="000000"/>
        </w:rPr>
        <w:t>5.推动体育公园绿色空间与健身设施有机融合</w:t>
      </w:r>
    </w:p>
    <w:p>
      <w:pPr>
        <w:adjustRightInd w:val="0"/>
        <w:snapToGrid w:val="0"/>
        <w:ind w:firstLine="560"/>
        <w:rPr>
          <w:rFonts w:ascii="宋体" w:hAnsi="宋体"/>
          <w:color w:val="000000"/>
        </w:rPr>
      </w:pPr>
      <w:r>
        <w:rPr>
          <w:rFonts w:hint="eastAsia" w:ascii="宋体" w:hAnsi="宋体"/>
          <w:color w:val="000000"/>
        </w:rPr>
        <w:t>围绕体育强国，深入贯彻落实《关于推进体育公园建设的指导意见》发改社会〔</w:t>
      </w:r>
      <w:r>
        <w:rPr>
          <w:rFonts w:ascii="宋体" w:hAnsi="宋体"/>
          <w:color w:val="000000"/>
        </w:rPr>
        <w:t>2021〕1497号</w:t>
      </w:r>
      <w:r>
        <w:rPr>
          <w:rFonts w:hint="eastAsia" w:ascii="宋体" w:hAnsi="宋体"/>
          <w:color w:val="000000"/>
        </w:rPr>
        <w:t>精神</w:t>
      </w:r>
      <w:r>
        <w:rPr>
          <w:rFonts w:ascii="宋体" w:hAnsi="宋体"/>
          <w:color w:val="000000"/>
        </w:rPr>
        <w:t>，将“体育公园化”和“公园体育化”深度融合，推动体育公园绿色空间与健身设施有机融合，坚持绿色生态底色。</w:t>
      </w:r>
      <w:r>
        <w:rPr>
          <w:rFonts w:hint="eastAsia" w:ascii="宋体" w:hAnsi="宋体"/>
          <w:color w:val="000000"/>
        </w:rPr>
        <w:t>打造</w:t>
      </w:r>
      <w:r>
        <w:rPr>
          <w:rFonts w:ascii="宋体" w:hAnsi="宋体"/>
          <w:color w:val="000000"/>
        </w:rPr>
        <w:t>各类“</w:t>
      </w:r>
      <w:r>
        <w:rPr>
          <w:rFonts w:hint="eastAsia" w:ascii="宋体" w:hAnsi="宋体"/>
          <w:color w:val="000000"/>
        </w:rPr>
        <w:t>口袋公园</w:t>
      </w:r>
      <w:r>
        <w:rPr>
          <w:rFonts w:ascii="宋体" w:hAnsi="宋体"/>
          <w:color w:val="000000"/>
        </w:rPr>
        <w:t>”</w:t>
      </w:r>
      <w:r>
        <w:rPr>
          <w:rFonts w:hint="eastAsia" w:ascii="宋体" w:hAnsi="宋体"/>
          <w:color w:val="000000"/>
        </w:rPr>
        <w:t>、</w:t>
      </w:r>
      <w:r>
        <w:rPr>
          <w:rFonts w:ascii="宋体" w:hAnsi="宋体"/>
          <w:color w:val="000000"/>
        </w:rPr>
        <w:t>街边绿地，</w:t>
      </w:r>
      <w:r>
        <w:rPr>
          <w:rFonts w:hint="eastAsia" w:ascii="宋体" w:hAnsi="宋体"/>
          <w:color w:val="000000"/>
        </w:rPr>
        <w:t>布局各类健身场地及配套设施。体育公园内既要有满足中老年人群需求的健身步道、健身广场，也要有满足青少年需求的足球、篮球、排球等常规球类场地设施和满足儿童需要的活动设施。有条件的地方可以设置临时性、装配式的冰雪、游泳设施。包含水域的体育公园可以因地制宜建设供皮划艇、赛艇等水上运动使用的小型船艇码头。鼓励配套建设智能化的淋浴、更衣、储物等服务设施，提高群众健身便利性。</w:t>
      </w:r>
    </w:p>
    <w:tbl>
      <w:tblPr>
        <w:tblStyle w:val="18"/>
        <w:tblW w:w="8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ind w:firstLine="0" w:firstLineChars="0"/>
              <w:jc w:val="center"/>
              <w:rPr>
                <w:rFonts w:ascii="宋体" w:hAnsi="宋体"/>
                <w:b/>
                <w:color w:val="000000"/>
                <w:sz w:val="24"/>
              </w:rPr>
            </w:pPr>
            <w:r>
              <w:rPr>
                <w:rFonts w:hint="eastAsia" w:ascii="宋体" w:hAnsi="宋体"/>
                <w:b/>
                <w:color w:val="000000"/>
                <w:sz w:val="24"/>
              </w:rPr>
              <w:t>专栏</w:t>
            </w:r>
            <w:r>
              <w:rPr>
                <w:rFonts w:ascii="宋体" w:hAnsi="宋体"/>
                <w:b/>
                <w:color w:val="000000"/>
                <w:sz w:val="24"/>
              </w:rPr>
              <w:t>3-4</w:t>
            </w:r>
            <w:r>
              <w:rPr>
                <w:rFonts w:hint="eastAsia" w:ascii="宋体" w:hAnsi="宋体"/>
                <w:b/>
                <w:color w:val="000000"/>
                <w:sz w:val="24"/>
              </w:rPr>
              <w:t>公共服务设施建设专项行动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adjustRightInd w:val="0"/>
              <w:snapToGrid w:val="0"/>
              <w:ind w:firstLine="0" w:firstLineChars="0"/>
              <w:rPr>
                <w:rFonts w:ascii="宋体" w:hAnsi="宋体"/>
                <w:color w:val="000000"/>
                <w:szCs w:val="28"/>
              </w:rPr>
            </w:pPr>
            <w:r>
              <w:rPr>
                <w:rFonts w:ascii="宋体" w:hAnsi="宋体"/>
                <w:b/>
                <w:color w:val="000000"/>
                <w:sz w:val="22"/>
              </w:rPr>
              <w:t>1</w:t>
            </w:r>
            <w:r>
              <w:rPr>
                <w:rFonts w:hint="eastAsia" w:ascii="宋体" w:hAnsi="宋体"/>
                <w:b/>
                <w:color w:val="000000"/>
                <w:sz w:val="22"/>
              </w:rPr>
              <w:t>.教育设施</w:t>
            </w:r>
            <w:r>
              <w:rPr>
                <w:rFonts w:ascii="宋体" w:hAnsi="宋体"/>
                <w:b/>
                <w:color w:val="000000"/>
                <w:sz w:val="22"/>
              </w:rPr>
              <w:t>建设</w:t>
            </w:r>
            <w:r>
              <w:rPr>
                <w:rFonts w:hint="eastAsia" w:ascii="宋体" w:hAnsi="宋体"/>
                <w:b/>
                <w:color w:val="000000"/>
                <w:sz w:val="22"/>
              </w:rPr>
              <w:t>及</w:t>
            </w:r>
            <w:r>
              <w:rPr>
                <w:rFonts w:ascii="宋体" w:hAnsi="宋体"/>
                <w:b/>
                <w:color w:val="000000"/>
                <w:sz w:val="22"/>
              </w:rPr>
              <w:t>改造</w:t>
            </w:r>
            <w:r>
              <w:rPr>
                <w:rFonts w:hint="eastAsia" w:ascii="宋体" w:hAnsi="宋体"/>
                <w:b/>
                <w:color w:val="000000"/>
                <w:sz w:val="22"/>
              </w:rPr>
              <w:t>工程。</w:t>
            </w:r>
            <w:r>
              <w:rPr>
                <w:rFonts w:hint="eastAsia" w:ascii="宋体" w:hAnsi="宋体"/>
                <w:color w:val="000000"/>
                <w:sz w:val="22"/>
              </w:rPr>
              <w:t>推进幼儿园、小学、中学、职业学校等教育设施建设，加大城区公办和普惠性幼儿园建设力度，十四五</w:t>
            </w:r>
            <w:r>
              <w:rPr>
                <w:rFonts w:ascii="宋体" w:hAnsi="宋体"/>
                <w:color w:val="000000"/>
                <w:sz w:val="22"/>
              </w:rPr>
              <w:t>期间</w:t>
            </w:r>
            <w:r>
              <w:rPr>
                <w:rFonts w:hint="eastAsia" w:ascii="宋体" w:hAnsi="宋体"/>
                <w:color w:val="000000"/>
                <w:sz w:val="22"/>
              </w:rPr>
              <w:t>，以新增人口集中地区和城镇为重点，新改扩建公办幼儿园</w:t>
            </w:r>
            <w:r>
              <w:rPr>
                <w:rFonts w:ascii="宋体" w:hAnsi="宋体"/>
                <w:color w:val="000000"/>
                <w:sz w:val="22"/>
              </w:rPr>
              <w:t>150所</w:t>
            </w:r>
            <w:r>
              <w:rPr>
                <w:rFonts w:hint="eastAsia" w:ascii="宋体" w:hAnsi="宋体"/>
                <w:color w:val="000000"/>
                <w:sz w:val="22"/>
              </w:rPr>
              <w:t>；以中心城市、县城、县域副中心、重点镇等人口聚居地为重点，调整优化城乡义务教育学校布局，新改扩建中小学</w:t>
            </w:r>
            <w:r>
              <w:rPr>
                <w:rFonts w:ascii="宋体" w:hAnsi="宋体"/>
                <w:color w:val="000000"/>
                <w:sz w:val="22"/>
              </w:rPr>
              <w:t>228所、迁建3所，创建40所城乡省级义务教育办学管理标准校，打造50所乡村温馨校园，全市义务教育优质均衡县区比例达到25%</w:t>
            </w:r>
            <w:r>
              <w:rPr>
                <w:rFonts w:hint="eastAsia" w:ascii="宋体" w:hAnsi="宋体"/>
                <w:color w:val="000000"/>
                <w:sz w:val="22"/>
              </w:rPr>
              <w:t>；以中心城市、县城为重点，实施优质高中集群建设工程，新改扩建普通高中</w:t>
            </w:r>
            <w:r>
              <w:rPr>
                <w:rFonts w:ascii="宋体" w:hAnsi="宋体"/>
                <w:color w:val="000000"/>
                <w:sz w:val="22"/>
              </w:rPr>
              <w:t>12所，培育打造省级引领性示范普通高中和特色办学普通高中6所，组建一批普通高中名校集团（联盟），实现普通高中高质量多样化和特色化发展。支持一批省级示范普通高中改革创新，造就一批公办民办各类型、各层次区域领航学校。</w:t>
            </w:r>
          </w:p>
          <w:p>
            <w:pPr>
              <w:adjustRightInd w:val="0"/>
              <w:snapToGrid w:val="0"/>
              <w:ind w:firstLine="0" w:firstLineChars="0"/>
              <w:jc w:val="left"/>
              <w:rPr>
                <w:rFonts w:ascii="宋体" w:hAnsi="宋体"/>
                <w:color w:val="000000"/>
                <w:sz w:val="22"/>
              </w:rPr>
            </w:pPr>
            <w:r>
              <w:rPr>
                <w:rFonts w:ascii="宋体" w:hAnsi="宋体"/>
                <w:b/>
                <w:color w:val="000000"/>
                <w:sz w:val="22"/>
              </w:rPr>
              <w:t>2</w:t>
            </w:r>
            <w:r>
              <w:rPr>
                <w:rFonts w:hint="eastAsia" w:ascii="宋体" w:hAnsi="宋体"/>
                <w:b/>
                <w:color w:val="000000"/>
                <w:sz w:val="22"/>
              </w:rPr>
              <w:t>.医疗设施</w:t>
            </w:r>
            <w:r>
              <w:rPr>
                <w:rFonts w:ascii="宋体" w:hAnsi="宋体"/>
                <w:b/>
                <w:color w:val="000000"/>
                <w:sz w:val="22"/>
              </w:rPr>
              <w:t>建设及改造</w:t>
            </w:r>
            <w:r>
              <w:rPr>
                <w:rFonts w:hint="eastAsia" w:ascii="宋体" w:hAnsi="宋体"/>
                <w:b/>
                <w:color w:val="000000"/>
                <w:sz w:val="22"/>
              </w:rPr>
              <w:t>工程。</w:t>
            </w:r>
            <w:r>
              <w:rPr>
                <w:rFonts w:hint="eastAsia" w:ascii="宋体" w:hAnsi="宋体"/>
                <w:color w:val="000000"/>
                <w:sz w:val="22"/>
              </w:rPr>
              <w:t>加快公立医院提标扩能和疾病预防控制中心基础设施建设，增强市域公共卫生防控救治能力。增加婴幼儿照护服务供给，发展普惠性托育体系。十四五期间</w:t>
            </w:r>
            <w:r>
              <w:rPr>
                <w:rFonts w:ascii="宋体" w:hAnsi="宋体"/>
                <w:color w:val="000000"/>
                <w:sz w:val="22"/>
              </w:rPr>
              <w:t>，</w:t>
            </w:r>
            <w:r>
              <w:rPr>
                <w:rFonts w:hint="eastAsia" w:ascii="宋体" w:hAnsi="宋体"/>
                <w:color w:val="000000"/>
                <w:sz w:val="22"/>
              </w:rPr>
              <w:t>推进广元市中医医院门诊住院综合楼、广元市精神卫生中心康复综合楼、广元市市中心血站智慧冷库等</w:t>
            </w:r>
            <w:r>
              <w:rPr>
                <w:rFonts w:ascii="宋体" w:hAnsi="宋体"/>
                <w:color w:val="000000"/>
                <w:sz w:val="22"/>
              </w:rPr>
              <w:t>45个项目建设</w:t>
            </w:r>
            <w:r>
              <w:rPr>
                <w:rFonts w:hint="eastAsia" w:ascii="宋体" w:hAnsi="宋体"/>
                <w:color w:val="000000"/>
                <w:sz w:val="22"/>
              </w:rPr>
              <w:t>；依托中心镇和特色镇卫生院，规划建设</w:t>
            </w:r>
            <w:r>
              <w:rPr>
                <w:rFonts w:ascii="宋体" w:hAnsi="宋体"/>
                <w:color w:val="000000"/>
                <w:sz w:val="22"/>
              </w:rPr>
              <w:t>10个达到二级综合医院标准的县域医疗次中心</w:t>
            </w:r>
            <w:r>
              <w:rPr>
                <w:rFonts w:hint="eastAsia" w:ascii="宋体" w:hAnsi="宋体"/>
                <w:color w:val="000000"/>
                <w:sz w:val="22"/>
              </w:rPr>
              <w:t>；依托现有市级医疗机构建设川陕甘结合部一流的临床医疗中心、川陕甘结合部区域中医医疗中心、川陕甘结合部区域职业病医疗康复中心、川陕甘结合部公共卫生临床医疗中心、川陕甘结合部区域妇幼卫生保健中心等“五个中心”。加强县级医院建设。建成省域医疗中心</w:t>
            </w:r>
            <w:r>
              <w:rPr>
                <w:rFonts w:ascii="宋体" w:hAnsi="宋体"/>
                <w:color w:val="000000"/>
                <w:sz w:val="22"/>
              </w:rPr>
              <w:t>3个、县域医疗中心4个、县域医疗</w:t>
            </w:r>
            <w:r>
              <w:rPr>
                <w:rFonts w:hint="eastAsia" w:ascii="宋体" w:hAnsi="宋体"/>
                <w:color w:val="000000"/>
                <w:sz w:val="22"/>
              </w:rPr>
              <w:t>次</w:t>
            </w:r>
            <w:r>
              <w:rPr>
                <w:rFonts w:ascii="宋体" w:hAnsi="宋体"/>
                <w:color w:val="000000"/>
                <w:sz w:val="22"/>
              </w:rPr>
              <w:t>中心10个及市第一人民医院三江新区分院；加快县级综合医院、中医医院提标扩能建设，推进市精神卫生中心</w:t>
            </w:r>
            <w:r>
              <w:rPr>
                <w:rFonts w:hint="eastAsia" w:ascii="宋体" w:hAnsi="宋体"/>
                <w:color w:val="000000"/>
                <w:sz w:val="22"/>
              </w:rPr>
              <w:t>科教综合楼等</w:t>
            </w:r>
            <w:r>
              <w:rPr>
                <w:rFonts w:ascii="宋体" w:hAnsi="宋体"/>
                <w:color w:val="000000"/>
                <w:sz w:val="22"/>
              </w:rPr>
              <w:t>48个项目建设。</w:t>
            </w:r>
          </w:p>
          <w:p>
            <w:pPr>
              <w:adjustRightInd w:val="0"/>
              <w:snapToGrid w:val="0"/>
              <w:ind w:firstLine="0" w:firstLineChars="0"/>
              <w:jc w:val="left"/>
              <w:rPr>
                <w:rFonts w:ascii="宋体" w:hAnsi="宋体"/>
                <w:color w:val="000000"/>
                <w:sz w:val="22"/>
              </w:rPr>
            </w:pPr>
            <w:r>
              <w:rPr>
                <w:rFonts w:ascii="宋体" w:hAnsi="宋体"/>
                <w:b/>
                <w:color w:val="000000"/>
                <w:sz w:val="22"/>
              </w:rPr>
              <w:t>3</w:t>
            </w:r>
            <w:r>
              <w:rPr>
                <w:rFonts w:hint="eastAsia" w:ascii="宋体" w:hAnsi="宋体"/>
                <w:b/>
                <w:color w:val="000000"/>
                <w:sz w:val="22"/>
              </w:rPr>
              <w:t>.文体</w:t>
            </w:r>
            <w:r>
              <w:rPr>
                <w:rFonts w:ascii="宋体" w:hAnsi="宋体"/>
                <w:b/>
                <w:color w:val="000000"/>
                <w:sz w:val="22"/>
              </w:rPr>
              <w:t>设施建设及</w:t>
            </w:r>
            <w:r>
              <w:rPr>
                <w:rFonts w:hint="eastAsia" w:ascii="宋体" w:hAnsi="宋体"/>
                <w:b/>
                <w:color w:val="000000"/>
                <w:sz w:val="22"/>
              </w:rPr>
              <w:t>升级工程。</w:t>
            </w:r>
            <w:r>
              <w:rPr>
                <w:rFonts w:hint="eastAsia" w:ascii="宋体" w:hAnsi="宋体"/>
                <w:color w:val="000000"/>
                <w:sz w:val="22"/>
              </w:rPr>
              <w:t>加快实施广元市利州区文化旅游产业园、广元市博物馆迁建、旺苍县美术馆、川陕苏区红军文化保护利用示范园等文化设施项目和广元市莲花体育公园、广元凤凰山体育公园、广元市南河全民健身中心项目、苍溪县体育中心建设项目、旺苍县东河体育公园建设项目等体育设施项目。对文化馆、图书馆、体育馆、博物馆、青少年宫等文体设施进行提质扩能改造，提高服务水平，加大对公众开放力度。建设乡镇</w:t>
            </w:r>
            <w:r>
              <w:rPr>
                <w:rFonts w:ascii="宋体" w:hAnsi="宋体"/>
                <w:color w:val="000000"/>
                <w:sz w:val="22"/>
              </w:rPr>
              <w:t>(街道)及社区全民健身中心、多功能运动场、体育公园、健身步道等全民健身场地设施共计50个以上</w:t>
            </w:r>
            <w:r>
              <w:rPr>
                <w:rFonts w:hint="eastAsia" w:ascii="宋体" w:hAnsi="宋体"/>
                <w:color w:val="000000"/>
                <w:sz w:val="22"/>
              </w:rPr>
              <w:t>，</w:t>
            </w:r>
            <w:r>
              <w:rPr>
                <w:rFonts w:ascii="宋体" w:hAnsi="宋体"/>
                <w:color w:val="000000"/>
                <w:sz w:val="22"/>
              </w:rPr>
              <w:t>推动15个大中小型公共体育场馆向群众免费、低收费开放。</w:t>
            </w:r>
          </w:p>
        </w:tc>
      </w:tr>
    </w:tbl>
    <w:p>
      <w:pPr>
        <w:pStyle w:val="6"/>
        <w:ind w:firstLine="141"/>
        <w:rPr>
          <w:color w:val="000000"/>
        </w:rPr>
      </w:pPr>
      <w:bookmarkStart w:id="238" w:name="_Toc118566300"/>
      <w:bookmarkStart w:id="239" w:name="_Toc118566566"/>
      <w:bookmarkStart w:id="240" w:name="_Toc118566433"/>
      <w:bookmarkStart w:id="241" w:name="_Toc118566700"/>
      <w:r>
        <w:rPr>
          <w:rFonts w:hint="eastAsia"/>
          <w:color w:val="000000"/>
        </w:rPr>
        <w:t>（二）优化城市商业服务供给水平</w:t>
      </w:r>
      <w:bookmarkEnd w:id="238"/>
      <w:bookmarkEnd w:id="239"/>
      <w:bookmarkEnd w:id="240"/>
      <w:bookmarkEnd w:id="241"/>
    </w:p>
    <w:p>
      <w:pPr>
        <w:pStyle w:val="7"/>
        <w:tabs>
          <w:tab w:val="left" w:pos="720"/>
        </w:tabs>
        <w:adjustRightInd w:val="0"/>
        <w:snapToGrid w:val="0"/>
        <w:rPr>
          <w:rFonts w:ascii="宋体" w:hAnsi="宋体"/>
          <w:color w:val="000000"/>
        </w:rPr>
      </w:pPr>
      <w:r>
        <w:rPr>
          <w:rFonts w:hint="eastAsia" w:ascii="宋体" w:hAnsi="宋体"/>
          <w:color w:val="000000"/>
        </w:rPr>
        <w:t>1.构建“一核、两中心、三极”商业体系</w:t>
      </w:r>
    </w:p>
    <w:p>
      <w:pPr>
        <w:adjustRightInd w:val="0"/>
        <w:snapToGrid w:val="0"/>
        <w:ind w:firstLine="560"/>
        <w:rPr>
          <w:rFonts w:ascii="宋体" w:hAnsi="宋体"/>
          <w:color w:val="000000"/>
        </w:rPr>
      </w:pPr>
      <w:r>
        <w:rPr>
          <w:rFonts w:hint="eastAsia" w:ascii="宋体" w:hAnsi="宋体"/>
          <w:color w:val="000000"/>
        </w:rPr>
        <w:t>一核：以图腾广场和永隆百货为中心的嘉陵核心商圈。</w:t>
      </w:r>
    </w:p>
    <w:p>
      <w:pPr>
        <w:adjustRightInd w:val="0"/>
        <w:snapToGrid w:val="0"/>
        <w:ind w:firstLine="560"/>
        <w:rPr>
          <w:rFonts w:ascii="宋体" w:hAnsi="宋体"/>
          <w:color w:val="000000"/>
        </w:rPr>
      </w:pPr>
      <w:r>
        <w:rPr>
          <w:rFonts w:hint="eastAsia" w:ascii="宋体" w:hAnsi="宋体"/>
          <w:color w:val="000000"/>
        </w:rPr>
        <w:t>两中心：以金橄榄广场为中心的东坝商业中心、以万达广场为中心的万缘商业中心。</w:t>
      </w:r>
    </w:p>
    <w:p>
      <w:pPr>
        <w:adjustRightInd w:val="0"/>
        <w:snapToGrid w:val="0"/>
        <w:ind w:firstLine="560"/>
        <w:rPr>
          <w:rFonts w:ascii="宋体" w:hAnsi="宋体"/>
          <w:color w:val="000000"/>
        </w:rPr>
      </w:pPr>
      <w:r>
        <w:rPr>
          <w:rFonts w:hint="eastAsia" w:ascii="宋体" w:hAnsi="宋体"/>
          <w:color w:val="000000"/>
        </w:rPr>
        <w:t>三极：以城北康养产业园和黑石坡领地城、下西国际商贸城、南河商业综合体为中心的商业发展极。</w:t>
      </w:r>
    </w:p>
    <w:p>
      <w:pPr>
        <w:adjustRightInd w:val="0"/>
        <w:snapToGrid w:val="0"/>
        <w:ind w:firstLine="560"/>
        <w:rPr>
          <w:rFonts w:ascii="宋体" w:hAnsi="宋体"/>
          <w:color w:val="000000"/>
        </w:rPr>
      </w:pPr>
      <w:r>
        <w:rPr>
          <w:rFonts w:ascii="宋体" w:hAnsi="宋体" w:eastAsia="仿宋_GB2312" w:cs="黑体"/>
          <w:color w:val="000000"/>
          <w:kern w:val="2"/>
          <w:sz w:val="32"/>
          <w:szCs w:val="22"/>
          <w:lang w:val="en-US" w:eastAsia="zh-CN" w:bidi="ar-SA"/>
        </w:rPr>
        <w:pict>
          <v:shape id="图片 7" o:spid="_x0000_s1032" type="#_x0000_t75" style="height:173.35pt;width:388.8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adjustRightInd w:val="0"/>
        <w:snapToGrid w:val="0"/>
        <w:ind w:firstLine="480"/>
        <w:jc w:val="center"/>
        <w:rPr>
          <w:rFonts w:ascii="宋体" w:hAnsi="宋体"/>
          <w:color w:val="000000"/>
          <w:sz w:val="24"/>
          <w:szCs w:val="24"/>
        </w:rPr>
      </w:pPr>
      <w:r>
        <w:rPr>
          <w:rFonts w:hint="eastAsia" w:ascii="宋体" w:hAnsi="宋体"/>
          <w:color w:val="000000"/>
          <w:sz w:val="24"/>
          <w:szCs w:val="24"/>
        </w:rPr>
        <w:t>广元市“十四五”主城区商业业态布局规划图</w:t>
      </w:r>
    </w:p>
    <w:p>
      <w:pPr>
        <w:pStyle w:val="7"/>
        <w:tabs>
          <w:tab w:val="left" w:pos="720"/>
        </w:tabs>
        <w:adjustRightInd w:val="0"/>
        <w:snapToGrid w:val="0"/>
        <w:rPr>
          <w:rFonts w:ascii="宋体" w:hAnsi="宋体"/>
          <w:color w:val="000000"/>
        </w:rPr>
      </w:pPr>
      <w:r>
        <w:rPr>
          <w:rFonts w:ascii="宋体" w:hAnsi="宋体"/>
          <w:color w:val="000000"/>
        </w:rPr>
        <w:t>2</w:t>
      </w:r>
      <w:r>
        <w:rPr>
          <w:rFonts w:hint="eastAsia" w:ascii="宋体" w:hAnsi="宋体"/>
          <w:color w:val="000000"/>
        </w:rPr>
        <w:t>.实施“</w:t>
      </w:r>
      <w:r>
        <w:rPr>
          <w:rFonts w:ascii="宋体" w:hAnsi="宋体"/>
          <w:color w:val="000000"/>
        </w:rPr>
        <w:t>1+1”商业街区优化提升工程</w:t>
      </w:r>
    </w:p>
    <w:p>
      <w:pPr>
        <w:adjustRightInd w:val="0"/>
        <w:snapToGrid w:val="0"/>
        <w:ind w:firstLine="560"/>
        <w:rPr>
          <w:rFonts w:ascii="宋体" w:hAnsi="宋体"/>
          <w:color w:val="000000"/>
        </w:rPr>
      </w:pPr>
      <w:r>
        <w:rPr>
          <w:rFonts w:ascii="宋体" w:hAnsi="宋体"/>
          <w:color w:val="000000"/>
        </w:rPr>
        <w:t>实施特色商业街区聚集发展工程。其中：美食街8条、时</w:t>
      </w:r>
      <w:r>
        <w:rPr>
          <w:rFonts w:hint="eastAsia" w:ascii="宋体" w:hAnsi="宋体"/>
          <w:color w:val="000000"/>
        </w:rPr>
        <w:t>尚购物街</w:t>
      </w:r>
      <w:r>
        <w:rPr>
          <w:rFonts w:ascii="宋体" w:hAnsi="宋体"/>
          <w:color w:val="000000"/>
        </w:rPr>
        <w:t>5条、休闲娱乐街2条。</w:t>
      </w:r>
      <w:r>
        <w:rPr>
          <w:rFonts w:hint="eastAsia" w:ascii="宋体" w:hAnsi="宋体"/>
          <w:color w:val="000000"/>
        </w:rPr>
        <w:t>规划方向：根据明确的业态范围，引导各类业态集聚发展，逐步优化落后的商业模式和散乱的业态布局。</w:t>
      </w:r>
    </w:p>
    <w:p>
      <w:pPr>
        <w:adjustRightInd w:val="0"/>
        <w:snapToGrid w:val="0"/>
        <w:ind w:firstLine="560"/>
        <w:rPr>
          <w:rFonts w:ascii="宋体" w:hAnsi="宋体"/>
          <w:color w:val="000000"/>
        </w:rPr>
      </w:pPr>
      <w:r>
        <w:rPr>
          <w:rFonts w:hint="eastAsia" w:ascii="宋体" w:hAnsi="宋体"/>
          <w:color w:val="000000"/>
        </w:rPr>
        <w:t>实施重点商业街区规范提升工程。涵盖街区</w:t>
      </w:r>
      <w:r>
        <w:rPr>
          <w:rFonts w:ascii="宋体" w:hAnsi="宋体"/>
          <w:color w:val="000000"/>
        </w:rPr>
        <w:t>8条。</w:t>
      </w:r>
      <w:r>
        <w:rPr>
          <w:rFonts w:hint="eastAsia" w:ascii="宋体" w:hAnsi="宋体"/>
          <w:color w:val="000000"/>
        </w:rPr>
        <w:t>规划方向：以提升改造为主，规范城市主要出入口街道经营业态，打造舒适宜人的消费环境。禁止噪音、粉尘等对环境影响较大的业态。突出南河滨水特色，通过实施“光彩工程”，利用灯光效果对城市水景进行美化亮化。</w:t>
      </w:r>
      <w:r>
        <w:rPr>
          <w:rFonts w:ascii="宋体" w:hAnsi="宋体"/>
          <w:color w:val="000000"/>
        </w:rPr>
        <w:t>8条商业街限制发展再生资</w:t>
      </w:r>
      <w:r>
        <w:rPr>
          <w:rFonts w:hint="eastAsia" w:ascii="宋体" w:hAnsi="宋体"/>
          <w:color w:val="000000"/>
        </w:rPr>
        <w:t>源回收、大型家居、建材、五金机电、工程机械、农业机械、汽摩销售、二手车经销、汽摩维修、汽摩配件、门窗安装、殡葬服务等业态。同时，将城区所有殡葬服务业态引导至烈士陵园和殡仪馆周边聚集经营。</w:t>
      </w:r>
    </w:p>
    <w:p>
      <w:pPr>
        <w:pStyle w:val="7"/>
        <w:tabs>
          <w:tab w:val="left" w:pos="720"/>
        </w:tabs>
        <w:adjustRightInd w:val="0"/>
        <w:snapToGrid w:val="0"/>
        <w:rPr>
          <w:rFonts w:ascii="宋体" w:hAnsi="宋体"/>
          <w:color w:val="000000"/>
        </w:rPr>
      </w:pPr>
      <w:r>
        <w:rPr>
          <w:rFonts w:hint="eastAsia" w:ascii="宋体" w:hAnsi="宋体"/>
          <w:color w:val="000000"/>
        </w:rPr>
        <w:t>3.完善专业市场</w:t>
      </w:r>
    </w:p>
    <w:p>
      <w:pPr>
        <w:adjustRightInd w:val="0"/>
        <w:snapToGrid w:val="0"/>
        <w:ind w:firstLine="560"/>
        <w:rPr>
          <w:rFonts w:ascii="宋体" w:hAnsi="宋体"/>
          <w:color w:val="000000"/>
        </w:rPr>
      </w:pPr>
      <w:r>
        <w:rPr>
          <w:rFonts w:hint="eastAsia" w:ascii="宋体" w:hAnsi="宋体"/>
          <w:color w:val="000000"/>
        </w:rPr>
        <w:t>构建布局合理、设施先进、物流配套、产业联动的现代化专业市场体系，引导各类业态退城入园，进入专业市场，为川陕甘物资集散中心提供支撑。原则上市城区不再引进农产品批发、汽车、五金机电、家居建材等专业市场。</w:t>
      </w:r>
    </w:p>
    <w:p>
      <w:pPr>
        <w:adjustRightInd w:val="0"/>
        <w:snapToGrid w:val="0"/>
        <w:ind w:firstLine="560"/>
        <w:rPr>
          <w:rFonts w:ascii="宋体" w:hAnsi="宋体"/>
          <w:color w:val="000000"/>
        </w:rPr>
      </w:pPr>
      <w:r>
        <w:rPr>
          <w:rFonts w:ascii="宋体" w:hAnsi="宋体" w:eastAsia="仿宋_GB2312" w:cs="黑体"/>
          <w:color w:val="000000"/>
          <w:kern w:val="2"/>
          <w:sz w:val="32"/>
          <w:szCs w:val="22"/>
          <w:lang w:val="en-US" w:eastAsia="zh-CN" w:bidi="ar-SA"/>
        </w:rPr>
        <w:pict>
          <v:shape id="图片 8" o:spid="_x0000_s1033" type="#_x0000_t75" style="height:228.25pt;width:415.3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adjustRightInd w:val="0"/>
        <w:snapToGrid w:val="0"/>
        <w:ind w:firstLine="480"/>
        <w:jc w:val="center"/>
        <w:rPr>
          <w:rFonts w:ascii="宋体" w:hAnsi="宋体"/>
          <w:color w:val="000000"/>
          <w:sz w:val="24"/>
          <w:szCs w:val="24"/>
        </w:rPr>
      </w:pPr>
      <w:r>
        <w:rPr>
          <w:rFonts w:hint="eastAsia" w:ascii="宋体" w:hAnsi="宋体"/>
          <w:color w:val="000000"/>
          <w:sz w:val="24"/>
          <w:szCs w:val="24"/>
        </w:rPr>
        <w:t>广元市“十四五”主城区特色商业街区布局规划</w:t>
      </w:r>
    </w:p>
    <w:p>
      <w:pPr>
        <w:pStyle w:val="5"/>
        <w:numPr>
          <w:numId w:val="0"/>
        </w:numPr>
        <w:spacing w:before="190"/>
        <w:rPr>
          <w:rFonts w:ascii="宋体" w:hAnsi="宋体"/>
          <w:color w:val="000000"/>
        </w:rPr>
      </w:pPr>
      <w:bookmarkStart w:id="242" w:name="_Toc118566301"/>
      <w:bookmarkStart w:id="243" w:name="_Toc119916746"/>
      <w:bookmarkStart w:id="244" w:name="_Toc118566567"/>
      <w:bookmarkStart w:id="245" w:name="_Toc118566701"/>
      <w:bookmarkStart w:id="246" w:name="_Toc118566434"/>
      <w:r>
        <w:rPr>
          <w:rFonts w:hint="eastAsia" w:ascii="宋体" w:hAnsi="宋体"/>
          <w:color w:val="000000"/>
        </w:rPr>
        <w:t>七、强化基础设施支撑</w:t>
      </w:r>
      <w:bookmarkEnd w:id="242"/>
      <w:bookmarkEnd w:id="243"/>
      <w:bookmarkEnd w:id="244"/>
      <w:bookmarkEnd w:id="245"/>
      <w:bookmarkEnd w:id="246"/>
    </w:p>
    <w:p>
      <w:pPr>
        <w:pStyle w:val="6"/>
        <w:ind w:firstLine="141"/>
        <w:rPr>
          <w:color w:val="000000"/>
        </w:rPr>
      </w:pPr>
      <w:bookmarkStart w:id="247" w:name="_Toc118566568"/>
      <w:bookmarkStart w:id="248" w:name="_Toc118566702"/>
      <w:bookmarkStart w:id="249" w:name="_Toc118566435"/>
      <w:bookmarkStart w:id="250" w:name="_Toc118566302"/>
      <w:r>
        <w:rPr>
          <w:rFonts w:hint="eastAsia"/>
          <w:color w:val="000000"/>
        </w:rPr>
        <w:t>（一）推进</w:t>
      </w:r>
      <w:r>
        <w:rPr>
          <w:color w:val="000000"/>
        </w:rPr>
        <w:t>城市</w:t>
      </w:r>
      <w:r>
        <w:rPr>
          <w:rFonts w:hint="eastAsia"/>
          <w:color w:val="000000"/>
        </w:rPr>
        <w:t>交通</w:t>
      </w:r>
      <w:r>
        <w:rPr>
          <w:color w:val="000000"/>
        </w:rPr>
        <w:t>基础</w:t>
      </w:r>
      <w:r>
        <w:rPr>
          <w:rFonts w:hint="eastAsia"/>
          <w:color w:val="000000"/>
        </w:rPr>
        <w:t>设施</w:t>
      </w:r>
      <w:r>
        <w:rPr>
          <w:color w:val="000000"/>
        </w:rPr>
        <w:t>体系化、人文化</w:t>
      </w:r>
      <w:bookmarkEnd w:id="247"/>
      <w:bookmarkEnd w:id="248"/>
      <w:bookmarkEnd w:id="249"/>
      <w:bookmarkEnd w:id="250"/>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w:t>
      </w:r>
      <w:r>
        <w:rPr>
          <w:rFonts w:hint="eastAsia" w:ascii="宋体" w:hAnsi="宋体"/>
          <w:color w:val="000000"/>
        </w:rPr>
        <w:t>提升</w:t>
      </w:r>
      <w:r>
        <w:rPr>
          <w:rFonts w:ascii="宋体" w:hAnsi="宋体"/>
          <w:color w:val="000000"/>
        </w:rPr>
        <w:t>城市交通系统综合承载能力</w:t>
      </w:r>
    </w:p>
    <w:p>
      <w:pPr>
        <w:adjustRightInd w:val="0"/>
        <w:snapToGrid w:val="0"/>
        <w:ind w:firstLine="560"/>
        <w:rPr>
          <w:rFonts w:ascii="宋体" w:hAnsi="宋体"/>
          <w:color w:val="000000"/>
        </w:rPr>
      </w:pPr>
      <w:r>
        <w:rPr>
          <w:rFonts w:ascii="宋体" w:hAnsi="宋体"/>
          <w:color w:val="000000"/>
        </w:rPr>
        <w:t>加强城市对外交通路网建设</w:t>
      </w:r>
      <w:r>
        <w:rPr>
          <w:rFonts w:hint="eastAsia" w:ascii="宋体" w:hAnsi="宋体"/>
          <w:color w:val="000000"/>
        </w:rPr>
        <w:t>。构建快速路、主次干路和支路级配合理的城市路网系统。加快城市主骨架路网与外围交通连接线项目建设，建立互联互通的道路交通网络，形成内部顺畅、外部通达、集约高效的城市综合交通体系。中心城区加快向东建成北二环东延线、雪莲大道、南山隧道万缘出口经小南山接</w:t>
      </w:r>
      <w:r>
        <w:rPr>
          <w:rFonts w:ascii="宋体" w:hAnsi="宋体"/>
          <w:color w:val="000000"/>
        </w:rPr>
        <w:t>G212、雪莲大道等项目；向北建成下西大道、拓宽改造杨家岩—西北乡-羊木镇道路工程、朝天至广元城市快速通道（二专线改造升级）、泰山路道路工程等项目；向西建成西二环延伸段、利州大道延伸段、广甘龙泉互通、宝轮环线(北段)、滨江北路等项目建设；向南规划建设G5京昆复线广元城区连接线、南山隧道、拓宽改造国道212（开元大桥至省道205段）等项目。</w:t>
      </w:r>
    </w:p>
    <w:p>
      <w:pPr>
        <w:adjustRightInd w:val="0"/>
        <w:snapToGrid w:val="0"/>
        <w:ind w:firstLine="560"/>
        <w:rPr>
          <w:rFonts w:ascii="宋体" w:hAnsi="宋体"/>
          <w:color w:val="000000"/>
        </w:rPr>
      </w:pPr>
      <w:r>
        <w:rPr>
          <w:rFonts w:hint="eastAsia" w:ascii="宋体" w:hAnsi="宋体"/>
          <w:color w:val="000000"/>
        </w:rPr>
        <w:t>强化城市内部路网提质更新。推进城市道路综合改造，提高城市道路网络连通性和可达性，提升城市交通通行效率，推动城市道路交通设施智能化建设和改造，提升建设水平、运行效率和安全性能。加大“破损路”和背街小巷及城市道路黑化工程整治力度，推进亲民化、适老化改造和无障碍设施建设，打通城市“断头路”“瓶颈路”。加快广元市（主城区）一环路提升改造工程、利州东路、苴国路、蜀门南北路、兴安路等项目提升改造；打通科创路至利州东路段、育才路跨线桥、柳林路下穿广巴铁路下穿、阜康大道铁路下穿、泰山路铁路下穿、</w:t>
      </w:r>
      <w:r>
        <w:rPr>
          <w:rFonts w:ascii="宋体" w:hAnsi="宋体"/>
          <w:color w:val="000000"/>
        </w:rPr>
        <w:t>110、081道口铁路下穿、利州区西路铁路下穿框架桥等铁路沿线通道项目建设；提标改造老鹰大桥、平桥路口、南河四号桥、蜀门大桥及转盘、劳动大厦路口等交通瓶颈路段；适度在人口集聚、商业活动、重要路口等区域增设人行天桥和隔离设施，加快081中学、中心医院路口、中医院路口、利州东路等地段的人行天桥建设。</w:t>
      </w:r>
    </w:p>
    <w:p>
      <w:pPr>
        <w:pStyle w:val="7"/>
        <w:tabs>
          <w:tab w:val="left" w:pos="720"/>
        </w:tabs>
        <w:adjustRightInd w:val="0"/>
        <w:snapToGrid w:val="0"/>
        <w:rPr>
          <w:rFonts w:ascii="宋体" w:hAnsi="宋体"/>
          <w:color w:val="000000"/>
        </w:rPr>
      </w:pPr>
      <w:r>
        <w:rPr>
          <w:rFonts w:hint="eastAsia" w:ascii="宋体" w:hAnsi="宋体"/>
          <w:color w:val="000000"/>
        </w:rPr>
        <w:t>2</w:t>
      </w:r>
      <w:r>
        <w:rPr>
          <w:rFonts w:ascii="宋体" w:hAnsi="宋体"/>
          <w:color w:val="000000"/>
        </w:rPr>
        <w:t>.</w:t>
      </w:r>
      <w:r>
        <w:rPr>
          <w:rFonts w:hint="eastAsia" w:ascii="宋体" w:hAnsi="宋体"/>
          <w:color w:val="000000"/>
        </w:rPr>
        <w:t>优化停车设施</w:t>
      </w:r>
      <w:r>
        <w:rPr>
          <w:rFonts w:ascii="宋体" w:hAnsi="宋体"/>
          <w:color w:val="000000"/>
        </w:rPr>
        <w:t>配置与管理</w:t>
      </w:r>
    </w:p>
    <w:p>
      <w:pPr>
        <w:adjustRightInd w:val="0"/>
        <w:snapToGrid w:val="0"/>
        <w:ind w:firstLine="560"/>
        <w:rPr>
          <w:rFonts w:ascii="宋体" w:hAnsi="宋体"/>
          <w:color w:val="000000"/>
        </w:rPr>
      </w:pPr>
      <w:r>
        <w:rPr>
          <w:rFonts w:hint="eastAsia" w:ascii="宋体" w:hAnsi="宋体"/>
          <w:color w:val="000000"/>
        </w:rPr>
        <w:t>统筹布局城市停车设施，优化停车设施供给结构，合理配置城市机动车停车位，结合老旧小区、老旧厂区、老旧街区等改造，积极扩建新建停车设施，在学校、医院、办公楼、商业区、旅游景区等重点区域，结合公共交通发展情况，合理确定停车设施规模，解决停车难的问题，加快中心城区和各县区智慧停车场及新能源充电桩建设项目建设。</w:t>
      </w:r>
    </w:p>
    <w:p>
      <w:pPr>
        <w:pStyle w:val="7"/>
        <w:tabs>
          <w:tab w:val="left" w:pos="720"/>
        </w:tabs>
        <w:adjustRightInd w:val="0"/>
        <w:snapToGrid w:val="0"/>
        <w:rPr>
          <w:rFonts w:ascii="宋体" w:hAnsi="宋体"/>
          <w:color w:val="000000"/>
        </w:rPr>
      </w:pPr>
      <w:r>
        <w:rPr>
          <w:rFonts w:hint="eastAsia" w:ascii="宋体" w:hAnsi="宋体"/>
          <w:color w:val="000000"/>
        </w:rPr>
        <w:t>3</w:t>
      </w:r>
      <w:r>
        <w:rPr>
          <w:rFonts w:ascii="宋体" w:hAnsi="宋体"/>
          <w:color w:val="000000"/>
        </w:rPr>
        <w:t>.</w:t>
      </w:r>
      <w:r>
        <w:rPr>
          <w:rFonts w:hint="eastAsia" w:ascii="宋体" w:hAnsi="宋体"/>
          <w:color w:val="000000"/>
        </w:rPr>
        <w:t>优化城市公共交通</w:t>
      </w:r>
    </w:p>
    <w:p>
      <w:pPr>
        <w:adjustRightInd w:val="0"/>
        <w:snapToGrid w:val="0"/>
        <w:ind w:firstLine="560"/>
        <w:rPr>
          <w:rFonts w:ascii="宋体" w:hAnsi="宋体"/>
          <w:color w:val="000000"/>
        </w:rPr>
      </w:pPr>
      <w:r>
        <w:rPr>
          <w:rFonts w:hint="eastAsia" w:ascii="宋体" w:hAnsi="宋体"/>
          <w:color w:val="000000"/>
        </w:rPr>
        <w:t>开展人行道净化专项行动。完善人行道网络，</w:t>
      </w:r>
      <w:r>
        <w:rPr>
          <w:rFonts w:ascii="宋体" w:hAnsi="宋体"/>
          <w:color w:val="000000"/>
        </w:rPr>
        <w:t>拓宽过窄人行道</w:t>
      </w:r>
      <w:r>
        <w:rPr>
          <w:rFonts w:hint="eastAsia" w:ascii="宋体" w:hAnsi="宋体"/>
          <w:color w:val="000000"/>
        </w:rPr>
        <w:t>，</w:t>
      </w:r>
      <w:r>
        <w:rPr>
          <w:rFonts w:ascii="宋体" w:hAnsi="宋体"/>
          <w:color w:val="000000"/>
        </w:rPr>
        <w:t>清理占道行为</w:t>
      </w:r>
      <w:r>
        <w:rPr>
          <w:rFonts w:hint="eastAsia" w:ascii="宋体" w:hAnsi="宋体"/>
          <w:color w:val="000000"/>
        </w:rPr>
        <w:t>，</w:t>
      </w:r>
      <w:r>
        <w:rPr>
          <w:rFonts w:ascii="宋体" w:hAnsi="宋体"/>
          <w:color w:val="000000"/>
        </w:rPr>
        <w:t>科学设置人行过街设施和立体步行系统</w:t>
      </w:r>
      <w:r>
        <w:rPr>
          <w:rFonts w:hint="eastAsia" w:ascii="宋体" w:hAnsi="宋体"/>
          <w:color w:val="000000"/>
        </w:rPr>
        <w:t>，</w:t>
      </w:r>
      <w:r>
        <w:rPr>
          <w:rFonts w:ascii="宋体" w:hAnsi="宋体"/>
          <w:color w:val="000000"/>
        </w:rPr>
        <w:t>确保人行道连续畅通；加快实施机非分离</w:t>
      </w:r>
      <w:r>
        <w:rPr>
          <w:rFonts w:hint="eastAsia" w:ascii="宋体" w:hAnsi="宋体"/>
          <w:color w:val="000000"/>
        </w:rPr>
        <w:t>，</w:t>
      </w:r>
      <w:r>
        <w:rPr>
          <w:rFonts w:ascii="宋体" w:hAnsi="宋体"/>
          <w:color w:val="000000"/>
        </w:rPr>
        <w:t>合理设置机非护栏、阻车桩、隔离墩等设施</w:t>
      </w:r>
      <w:r>
        <w:rPr>
          <w:rFonts w:hint="eastAsia" w:ascii="宋体" w:hAnsi="宋体"/>
          <w:color w:val="000000"/>
        </w:rPr>
        <w:t>，</w:t>
      </w:r>
      <w:r>
        <w:rPr>
          <w:rFonts w:ascii="宋体" w:hAnsi="宋体"/>
          <w:color w:val="000000"/>
        </w:rPr>
        <w:t>推广应用电子监控设备</w:t>
      </w:r>
      <w:r>
        <w:rPr>
          <w:rFonts w:hint="eastAsia" w:ascii="宋体" w:hAnsi="宋体"/>
          <w:color w:val="000000"/>
        </w:rPr>
        <w:t>，</w:t>
      </w:r>
      <w:r>
        <w:rPr>
          <w:rFonts w:ascii="宋体" w:hAnsi="宋体"/>
          <w:color w:val="000000"/>
        </w:rPr>
        <w:t>减少混合交通</w:t>
      </w:r>
      <w:r>
        <w:rPr>
          <w:rFonts w:hint="eastAsia" w:ascii="宋体" w:hAnsi="宋体"/>
          <w:color w:val="000000"/>
        </w:rPr>
        <w:t>，</w:t>
      </w:r>
      <w:r>
        <w:rPr>
          <w:rFonts w:ascii="宋体" w:hAnsi="宋体"/>
          <w:color w:val="000000"/>
        </w:rPr>
        <w:t>降低行人、自行车和机动车相互干扰；及时排查和消除人行道设施破损、路面坑洼、井盖缺失沉陷等安全隐患</w:t>
      </w:r>
      <w:r>
        <w:rPr>
          <w:rFonts w:hint="eastAsia" w:ascii="宋体" w:hAnsi="宋体"/>
          <w:color w:val="000000"/>
        </w:rPr>
        <w:t>，</w:t>
      </w:r>
      <w:r>
        <w:rPr>
          <w:rFonts w:ascii="宋体" w:hAnsi="宋体"/>
          <w:color w:val="000000"/>
        </w:rPr>
        <w:t>确保人行道通行安全；加强城市道路沿线照明、沿路绿化、弱电箱的合理优化整治</w:t>
      </w:r>
      <w:r>
        <w:rPr>
          <w:rFonts w:hint="eastAsia" w:ascii="宋体" w:hAnsi="宋体"/>
          <w:color w:val="000000"/>
        </w:rPr>
        <w:t>，</w:t>
      </w:r>
      <w:r>
        <w:rPr>
          <w:rFonts w:ascii="宋体" w:hAnsi="宋体"/>
          <w:color w:val="000000"/>
        </w:rPr>
        <w:t>确保人行道通行舒适</w:t>
      </w:r>
      <w:r>
        <w:rPr>
          <w:rFonts w:hint="eastAsia" w:ascii="宋体" w:hAnsi="宋体"/>
          <w:color w:val="000000"/>
        </w:rPr>
        <w:t>，到2025年</w:t>
      </w:r>
      <w:r>
        <w:rPr>
          <w:rFonts w:ascii="宋体" w:hAnsi="宋体"/>
          <w:color w:val="000000"/>
        </w:rPr>
        <w:t>，</w:t>
      </w:r>
      <w:r>
        <w:rPr>
          <w:rFonts w:hint="eastAsia" w:ascii="宋体" w:hAnsi="宋体"/>
          <w:color w:val="000000"/>
        </w:rPr>
        <w:t>市中心城区建成区绿色出行比例达到</w:t>
      </w:r>
      <w:r>
        <w:rPr>
          <w:rFonts w:ascii="宋体" w:hAnsi="宋体"/>
          <w:color w:val="000000"/>
        </w:rPr>
        <w:t>75%。</w:t>
      </w:r>
    </w:p>
    <w:p>
      <w:pPr>
        <w:adjustRightInd w:val="0"/>
        <w:snapToGrid w:val="0"/>
        <w:ind w:firstLine="560"/>
        <w:rPr>
          <w:rFonts w:ascii="宋体" w:hAnsi="宋体"/>
          <w:color w:val="000000"/>
        </w:rPr>
      </w:pPr>
      <w:r>
        <w:rPr>
          <w:rFonts w:hint="eastAsia" w:ascii="宋体" w:hAnsi="宋体"/>
          <w:color w:val="000000"/>
        </w:rPr>
        <w:t>开展自行车停车设施补短板行动。结合缓堵保畅专项行动和城市道路建设和改造计划，</w:t>
      </w:r>
      <w:r>
        <w:rPr>
          <w:rFonts w:ascii="宋体" w:hAnsi="宋体"/>
          <w:color w:val="000000"/>
        </w:rPr>
        <w:t>成片、成批、成网统筹建设自行车专用道；老城区在城市更新中合理保障停车设施用地空间，城市新建居住区和公共建筑应配建自行车停车场；鼓励发展自行车驻车换乘，汽车站、火车站、码头等枢纽站设置自行车停车设施。</w:t>
      </w:r>
      <w:r>
        <w:rPr>
          <w:rFonts w:hint="eastAsia" w:ascii="宋体" w:hAnsi="宋体"/>
          <w:color w:val="000000"/>
        </w:rPr>
        <w:t>“十四五”期间全市计划建设步行道</w:t>
      </w:r>
      <w:r>
        <w:rPr>
          <w:rFonts w:ascii="宋体" w:hAnsi="宋体"/>
          <w:color w:val="000000"/>
        </w:rPr>
        <w:t>67.1公里，开展人行道改造提升39.8公里，建设自行车专用道30公里</w:t>
      </w:r>
      <w:r>
        <w:rPr>
          <w:rFonts w:hint="eastAsia" w:ascii="宋体" w:hAnsi="宋体"/>
          <w:color w:val="000000"/>
        </w:rPr>
        <w:t>，</w:t>
      </w:r>
      <w:r>
        <w:rPr>
          <w:rFonts w:ascii="宋体" w:hAnsi="宋体"/>
          <w:color w:val="000000"/>
        </w:rPr>
        <w:t>启动研究城市轨道交通。</w:t>
      </w:r>
    </w:p>
    <w:p>
      <w:pPr>
        <w:pStyle w:val="7"/>
        <w:tabs>
          <w:tab w:val="left" w:pos="720"/>
        </w:tabs>
        <w:adjustRightInd w:val="0"/>
        <w:snapToGrid w:val="0"/>
        <w:rPr>
          <w:rFonts w:ascii="宋体" w:hAnsi="宋体"/>
          <w:color w:val="000000"/>
        </w:rPr>
      </w:pPr>
      <w:r>
        <w:rPr>
          <w:rFonts w:hint="eastAsia" w:ascii="宋体" w:hAnsi="宋体"/>
          <w:color w:val="000000"/>
        </w:rPr>
        <w:t>4</w:t>
      </w:r>
      <w:r>
        <w:rPr>
          <w:rFonts w:ascii="宋体" w:hAnsi="宋体"/>
          <w:color w:val="000000"/>
        </w:rPr>
        <w:t>.</w:t>
      </w:r>
      <w:r>
        <w:rPr>
          <w:rFonts w:hint="eastAsia" w:ascii="宋体" w:hAnsi="宋体"/>
          <w:color w:val="000000"/>
        </w:rPr>
        <w:t>加快发展</w:t>
      </w:r>
      <w:r>
        <w:rPr>
          <w:rFonts w:ascii="宋体" w:hAnsi="宋体"/>
          <w:color w:val="000000"/>
        </w:rPr>
        <w:t>城市</w:t>
      </w:r>
      <w:r>
        <w:rPr>
          <w:rFonts w:hint="eastAsia" w:ascii="宋体" w:hAnsi="宋体"/>
          <w:color w:val="000000"/>
        </w:rPr>
        <w:t>绿色交通</w:t>
      </w:r>
    </w:p>
    <w:p>
      <w:pPr>
        <w:adjustRightInd w:val="0"/>
        <w:snapToGrid w:val="0"/>
        <w:ind w:firstLine="560"/>
        <w:rPr>
          <w:rFonts w:ascii="宋体" w:hAnsi="宋体"/>
          <w:color w:val="000000"/>
        </w:rPr>
      </w:pPr>
      <w:r>
        <w:rPr>
          <w:rFonts w:hint="eastAsia" w:ascii="宋体" w:hAnsi="宋体"/>
          <w:color w:val="000000"/>
        </w:rPr>
        <w:t>提升地面公交服务品质。坚持公共交通优先，倡导绿色出行方式，提高城市公共交通出行比例，进一步优化城市公交线路。加大财政投入，持续提升城市形象，按照车辆更新率每年不低于</w:t>
      </w:r>
      <w:r>
        <w:rPr>
          <w:rFonts w:ascii="宋体" w:hAnsi="宋体"/>
          <w:color w:val="000000"/>
        </w:rPr>
        <w:t>20%，逐年更新市城区老旧公交车辆。持续提升加大公交专用通道建设力度，积极推行公交信号优先，结合缓堵保畅专项行动，试点部分条件允许的主干道设立固定公交专用道，或特殊时段专用道（上下班高晚高峰，节假日，其他重要人群集散聚集日）。鼓励中心城区和各县区因地制宜发展新能源大容量城市公共交通，加快推进通勤主导方向上的公共交通服务供给，加快推进城市公交枢纽、首末</w:t>
      </w:r>
      <w:r>
        <w:rPr>
          <w:rFonts w:hint="eastAsia" w:ascii="宋体" w:hAnsi="宋体"/>
          <w:color w:val="000000"/>
        </w:rPr>
        <w:t>站等基础设施建设，提升城市公共交通服务水平。</w:t>
      </w:r>
    </w:p>
    <w:p>
      <w:pPr>
        <w:adjustRightInd w:val="0"/>
        <w:snapToGrid w:val="0"/>
        <w:ind w:firstLine="560"/>
        <w:rPr>
          <w:rFonts w:ascii="宋体" w:hAnsi="宋体"/>
          <w:color w:val="000000"/>
        </w:rPr>
      </w:pPr>
      <w:r>
        <w:rPr>
          <w:rFonts w:hint="eastAsia" w:ascii="宋体" w:hAnsi="宋体"/>
          <w:color w:val="000000"/>
        </w:rPr>
        <w:t>加强城乡绿道建设。规划建设城市型、郊野型等不同类型的城乡绿道，提升绿道连通度和可达度，建成袁家坝滨江路生态修复景观提升、袁家坝至三江新区至剑阁下寺至剑门关绿道、中国山地自行车联赛广元站配套游步道、主城区至东部城区平乐景区绿道、主城区至曾家山绿道、阆苍南环嘉陵江绿道、剑阁县城环城绿道、旺苍县园沱子至大中坝景观步游道工程等建设项目。</w:t>
      </w:r>
    </w:p>
    <w:p>
      <w:pPr>
        <w:adjustRightInd w:val="0"/>
        <w:snapToGrid w:val="0"/>
        <w:ind w:firstLine="560"/>
        <w:rPr>
          <w:rFonts w:ascii="宋体" w:hAnsi="宋体"/>
          <w:color w:val="000000"/>
        </w:rPr>
      </w:pPr>
      <w:r>
        <w:rPr>
          <w:rFonts w:hint="eastAsia" w:ascii="宋体" w:hAnsi="宋体"/>
          <w:color w:val="000000"/>
        </w:rPr>
        <w:t>规划研究城市轨道交通。积极推进轨道交通建设，依托宝成、广巴达铁路，启动研究剑阁县至中心城区，中心城区至朝天、中心城区至昭化旺苍轻轨项目、剑门高铁站至剑门关景区旅游轨道线路、曾家山山地旅游轨道线路、苍阆轨道交通等项目建设。</w:t>
      </w:r>
    </w:p>
    <w:tbl>
      <w:tblPr>
        <w:tblStyle w:val="18"/>
        <w:tblW w:w="8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adjustRightInd w:val="0"/>
              <w:snapToGrid w:val="0"/>
              <w:ind w:firstLine="0" w:firstLineChars="0"/>
              <w:jc w:val="center"/>
              <w:rPr>
                <w:rFonts w:ascii="宋体" w:hAnsi="宋体"/>
                <w:b/>
                <w:color w:val="000000"/>
                <w:sz w:val="24"/>
              </w:rPr>
            </w:pPr>
            <w:r>
              <w:rPr>
                <w:rFonts w:hint="eastAsia" w:ascii="宋体" w:hAnsi="宋体"/>
                <w:b/>
                <w:color w:val="000000"/>
                <w:sz w:val="24"/>
              </w:rPr>
              <w:t>专栏</w:t>
            </w:r>
            <w:r>
              <w:rPr>
                <w:rFonts w:ascii="宋体" w:hAnsi="宋体"/>
                <w:b/>
                <w:color w:val="000000"/>
                <w:sz w:val="24"/>
              </w:rPr>
              <w:t>3-5</w:t>
            </w:r>
            <w:r>
              <w:rPr>
                <w:rFonts w:hint="eastAsia" w:ascii="宋体" w:hAnsi="宋体"/>
                <w:b/>
                <w:color w:val="000000"/>
                <w:sz w:val="24"/>
              </w:rPr>
              <w:t>交通设施建设专项行动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adjustRightInd w:val="0"/>
              <w:snapToGrid w:val="0"/>
              <w:ind w:firstLine="0" w:firstLineChars="0"/>
              <w:rPr>
                <w:rFonts w:ascii="宋体" w:hAnsi="宋体"/>
                <w:color w:val="000000"/>
                <w:szCs w:val="28"/>
              </w:rPr>
            </w:pPr>
            <w:r>
              <w:rPr>
                <w:rFonts w:ascii="宋体" w:hAnsi="宋体"/>
                <w:b/>
                <w:color w:val="000000"/>
                <w:sz w:val="22"/>
              </w:rPr>
              <w:t>1</w:t>
            </w:r>
            <w:r>
              <w:rPr>
                <w:rFonts w:hint="eastAsia" w:ascii="宋体" w:hAnsi="宋体"/>
                <w:b/>
                <w:color w:val="000000"/>
                <w:sz w:val="22"/>
              </w:rPr>
              <w:t>.客运枢纽建设。</w:t>
            </w:r>
            <w:r>
              <w:rPr>
                <w:rFonts w:hint="eastAsia" w:ascii="宋体" w:hAnsi="宋体"/>
                <w:color w:val="000000"/>
                <w:sz w:val="22"/>
              </w:rPr>
              <w:t>加快推进广元市公交总站建设项目、广元朝天七盘关客运枢纽站项目、剑阁县剑门关汽车客运站改（扩）建项目、苍溪县客运中心站功能拓展等项目的建设</w:t>
            </w:r>
            <w:r>
              <w:rPr>
                <w:rFonts w:ascii="宋体" w:hAnsi="宋体"/>
                <w:color w:val="000000"/>
                <w:sz w:val="22"/>
              </w:rPr>
              <w:t>。</w:t>
            </w:r>
          </w:p>
          <w:p>
            <w:pPr>
              <w:adjustRightInd w:val="0"/>
              <w:snapToGrid w:val="0"/>
              <w:ind w:firstLine="0" w:firstLineChars="0"/>
              <w:rPr>
                <w:rFonts w:ascii="宋体" w:hAnsi="宋体"/>
                <w:color w:val="000000"/>
                <w:sz w:val="22"/>
              </w:rPr>
            </w:pPr>
            <w:r>
              <w:rPr>
                <w:rFonts w:ascii="宋体" w:hAnsi="宋体"/>
                <w:b/>
                <w:color w:val="000000"/>
                <w:sz w:val="22"/>
              </w:rPr>
              <w:t>2</w:t>
            </w:r>
            <w:r>
              <w:rPr>
                <w:rFonts w:hint="eastAsia" w:ascii="宋体" w:hAnsi="宋体"/>
                <w:b/>
                <w:color w:val="000000"/>
                <w:sz w:val="22"/>
              </w:rPr>
              <w:t>.对外交通建设。</w:t>
            </w:r>
            <w:r>
              <w:rPr>
                <w:rFonts w:hint="eastAsia" w:ascii="宋体" w:hAnsi="宋体"/>
                <w:color w:val="000000"/>
                <w:sz w:val="22"/>
              </w:rPr>
              <w:t>加快推进</w:t>
            </w:r>
            <w:r>
              <w:rPr>
                <w:rFonts w:ascii="宋体" w:hAnsi="宋体"/>
                <w:color w:val="000000"/>
                <w:sz w:val="22"/>
              </w:rPr>
              <w:t>S18广元至平武高速公路、S1绵阳至苍溪高速公路、S1苍溪至巴中高速公路</w:t>
            </w:r>
            <w:r>
              <w:rPr>
                <w:rFonts w:hint="eastAsia" w:ascii="宋体" w:hAnsi="宋体"/>
                <w:color w:val="000000"/>
                <w:sz w:val="22"/>
              </w:rPr>
              <w:t>等对外大通道项目建设；推进城市进出口道路建设，构建快速路、主次干路、支路互联互通的城市综合交通路网体系。重点加强城市进出口道路建设，北向实施广北二专线（瓷窑铺）改造工程，东向实施</w:t>
            </w:r>
            <w:r>
              <w:rPr>
                <w:rFonts w:ascii="宋体" w:hAnsi="宋体"/>
                <w:color w:val="000000"/>
                <w:sz w:val="22"/>
              </w:rPr>
              <w:t>G542</w:t>
            </w:r>
            <w:r>
              <w:rPr>
                <w:rFonts w:hint="eastAsia" w:ascii="宋体" w:hAnsi="宋体"/>
                <w:color w:val="000000"/>
                <w:sz w:val="22"/>
              </w:rPr>
              <w:t>利州区盘龙镇（陵江）至昭化区元坝镇（范家坪）段改建工程，南向实施万龙路改扩建工程，西向实施</w:t>
            </w:r>
            <w:r>
              <w:rPr>
                <w:rFonts w:ascii="宋体" w:hAnsi="宋体"/>
                <w:color w:val="000000"/>
                <w:sz w:val="22"/>
              </w:rPr>
              <w:t>081电子厂至周家湾段公</w:t>
            </w:r>
            <w:r>
              <w:rPr>
                <w:rFonts w:hint="eastAsia" w:ascii="宋体" w:hAnsi="宋体"/>
                <w:color w:val="000000"/>
                <w:sz w:val="22"/>
              </w:rPr>
              <w:t>路改建工程，实现干线公路与城市道路的有效衔接；加快构建县际互联、畅达乡镇、衔接顺畅的干线公路网络，推进普通国省道提档升级，消除低等级</w:t>
            </w:r>
          </w:p>
          <w:p>
            <w:pPr>
              <w:adjustRightInd w:val="0"/>
              <w:snapToGrid w:val="0"/>
              <w:ind w:firstLine="0" w:firstLineChars="0"/>
              <w:rPr>
                <w:rFonts w:ascii="宋体" w:hAnsi="宋体"/>
                <w:color w:val="000000"/>
                <w:sz w:val="22"/>
              </w:rPr>
            </w:pPr>
            <w:r>
              <w:rPr>
                <w:rFonts w:hint="eastAsia" w:ascii="宋体" w:hAnsi="宋体"/>
                <w:color w:val="000000"/>
                <w:sz w:val="22"/>
              </w:rPr>
              <w:t>路段和瓶颈路段，提升国省道通行能力和服务水平，普通国道以广元市中心城区联系各县（区）一级路升级改造和部分低标路段建设为重点，实施</w:t>
            </w:r>
            <w:r>
              <w:rPr>
                <w:rFonts w:ascii="宋体" w:hAnsi="宋体"/>
                <w:color w:val="000000"/>
                <w:sz w:val="22"/>
              </w:rPr>
              <w:t>G542利州区盘龙镇（陵江）至旺苍县三江镇</w:t>
            </w:r>
            <w:r>
              <w:rPr>
                <w:rFonts w:hint="eastAsia" w:ascii="宋体" w:hAnsi="宋体"/>
                <w:color w:val="000000"/>
                <w:sz w:val="22"/>
              </w:rPr>
              <w:t>（牛项颈）段改建工程、</w:t>
            </w:r>
            <w:r>
              <w:rPr>
                <w:rFonts w:ascii="宋体" w:hAnsi="宋体"/>
                <w:color w:val="000000"/>
                <w:sz w:val="22"/>
              </w:rPr>
              <w:t>G212昭化城区元坝镇过境（乔家沟至</w:t>
            </w:r>
          </w:p>
          <w:p>
            <w:pPr>
              <w:adjustRightInd w:val="0"/>
              <w:snapToGrid w:val="0"/>
              <w:ind w:firstLine="0" w:firstLineChars="0"/>
              <w:rPr>
                <w:rFonts w:ascii="宋体" w:hAnsi="宋体"/>
                <w:color w:val="000000"/>
                <w:sz w:val="22"/>
              </w:rPr>
            </w:pPr>
            <w:r>
              <w:rPr>
                <w:rFonts w:hint="eastAsia" w:ascii="宋体" w:hAnsi="宋体"/>
                <w:color w:val="000000"/>
                <w:sz w:val="22"/>
              </w:rPr>
              <w:t>肖家河）段改建工程（含韩家垭隧道）、</w:t>
            </w:r>
            <w:r>
              <w:rPr>
                <w:rFonts w:ascii="宋体" w:hAnsi="宋体"/>
                <w:color w:val="000000"/>
                <w:sz w:val="22"/>
              </w:rPr>
              <w:t>G347剑阁县涂山镇（厚</w:t>
            </w:r>
            <w:r>
              <w:rPr>
                <w:rFonts w:hint="eastAsia" w:ascii="宋体" w:hAnsi="宋体"/>
                <w:color w:val="000000"/>
                <w:sz w:val="22"/>
              </w:rPr>
              <w:t>子铺）至元山镇（印合嘴）段改建工程、</w:t>
            </w:r>
            <w:r>
              <w:rPr>
                <w:rFonts w:ascii="宋体" w:hAnsi="宋体"/>
                <w:color w:val="000000"/>
                <w:sz w:val="22"/>
              </w:rPr>
              <w:t>G108朝天区中子镇（七</w:t>
            </w:r>
            <w:r>
              <w:rPr>
                <w:rFonts w:hint="eastAsia" w:ascii="宋体" w:hAnsi="宋体"/>
                <w:color w:val="000000"/>
                <w:sz w:val="22"/>
              </w:rPr>
              <w:t>盘关）至利州区嘉陵街道办事处（瓷窑铺）段改建工程等项目，普通省道以提升乡镇通三级及以上公路连通率和低标路段提档升级为重点，实施</w:t>
            </w:r>
            <w:r>
              <w:rPr>
                <w:rFonts w:ascii="宋体" w:hAnsi="宋体"/>
                <w:color w:val="000000"/>
                <w:sz w:val="22"/>
              </w:rPr>
              <w:t>S205、S208、S209、S301、S302、S409、S410、S411等8条省道重要路段项目。</w:t>
            </w:r>
          </w:p>
          <w:p>
            <w:pPr>
              <w:adjustRightInd w:val="0"/>
              <w:snapToGrid w:val="0"/>
              <w:ind w:firstLine="0" w:firstLineChars="0"/>
              <w:jc w:val="left"/>
              <w:rPr>
                <w:rFonts w:ascii="宋体" w:hAnsi="宋体"/>
                <w:color w:val="000000"/>
                <w:sz w:val="22"/>
              </w:rPr>
            </w:pPr>
            <w:r>
              <w:rPr>
                <w:rFonts w:ascii="宋体" w:hAnsi="宋体"/>
                <w:b/>
                <w:color w:val="000000"/>
                <w:sz w:val="22"/>
              </w:rPr>
              <w:t>3</w:t>
            </w:r>
            <w:r>
              <w:rPr>
                <w:rFonts w:hint="eastAsia" w:ascii="宋体" w:hAnsi="宋体"/>
                <w:b/>
                <w:color w:val="000000"/>
                <w:sz w:val="22"/>
              </w:rPr>
              <w:t>.城市道路建设。</w:t>
            </w:r>
            <w:r>
              <w:rPr>
                <w:rFonts w:hint="eastAsia" w:ascii="宋体" w:hAnsi="宋体"/>
                <w:color w:val="000000"/>
                <w:sz w:val="22"/>
              </w:rPr>
              <w:t>强化城市内部路网提质更新。推进城市道路综合改造，实施兴安路提升改造、北二环东延线道路工程一期（泡石沟－大稻坝）段、泰山路道路工程、</w:t>
            </w:r>
          </w:p>
          <w:p>
            <w:pPr>
              <w:adjustRightInd w:val="0"/>
              <w:snapToGrid w:val="0"/>
              <w:ind w:firstLine="0" w:firstLineChars="0"/>
              <w:jc w:val="left"/>
              <w:rPr>
                <w:rFonts w:ascii="宋体" w:hAnsi="宋体"/>
                <w:color w:val="000000"/>
                <w:sz w:val="22"/>
              </w:rPr>
            </w:pPr>
            <w:r>
              <w:rPr>
                <w:rFonts w:ascii="宋体" w:hAnsi="宋体"/>
                <w:color w:val="000000"/>
                <w:sz w:val="22"/>
              </w:rPr>
              <w:t>081产业新城雪莲大道项目</w:t>
            </w:r>
            <w:r>
              <w:rPr>
                <w:rFonts w:hint="eastAsia" w:ascii="宋体" w:hAnsi="宋体"/>
                <w:color w:val="000000"/>
                <w:sz w:val="22"/>
              </w:rPr>
              <w:t>、科创路与兴安路连接段道路提升工程、西二环延伸段、</w:t>
            </w:r>
          </w:p>
          <w:p>
            <w:pPr>
              <w:adjustRightInd w:val="0"/>
              <w:snapToGrid w:val="0"/>
              <w:ind w:firstLine="0" w:firstLineChars="0"/>
              <w:jc w:val="left"/>
              <w:rPr>
                <w:rFonts w:ascii="宋体" w:hAnsi="宋体"/>
                <w:color w:val="000000"/>
                <w:sz w:val="22"/>
              </w:rPr>
            </w:pPr>
            <w:r>
              <w:rPr>
                <w:rFonts w:hint="eastAsia" w:ascii="宋体" w:hAnsi="宋体"/>
                <w:color w:val="000000"/>
                <w:sz w:val="22"/>
              </w:rPr>
              <w:t>利州区利州东路和苴国路、蜀门南路、海口路等路段提升改造工程，提高城市道路网络连通性和可达性，提升城市交通通行效率，推动城市道路交通设施智能化建设和改造，提升建设水平、运行效率和安全性能。</w:t>
            </w:r>
          </w:p>
          <w:p>
            <w:pPr>
              <w:adjustRightInd w:val="0"/>
              <w:snapToGrid w:val="0"/>
              <w:ind w:firstLine="0" w:firstLineChars="0"/>
              <w:rPr>
                <w:rFonts w:ascii="宋体" w:hAnsi="宋体"/>
                <w:color w:val="000000"/>
                <w:sz w:val="22"/>
              </w:rPr>
            </w:pPr>
            <w:r>
              <w:rPr>
                <w:rFonts w:ascii="宋体" w:hAnsi="宋体"/>
                <w:b/>
                <w:color w:val="000000"/>
                <w:sz w:val="22"/>
              </w:rPr>
              <w:t>4</w:t>
            </w:r>
            <w:r>
              <w:rPr>
                <w:rFonts w:hint="eastAsia" w:ascii="宋体" w:hAnsi="宋体"/>
                <w:b/>
                <w:color w:val="000000"/>
                <w:sz w:val="22"/>
              </w:rPr>
              <w:t>.农村道路建设。</w:t>
            </w:r>
            <w:r>
              <w:rPr>
                <w:rFonts w:hint="eastAsia" w:ascii="宋体" w:hAnsi="宋体"/>
                <w:color w:val="000000"/>
                <w:sz w:val="22"/>
              </w:rPr>
              <w:t>“十四五”期规划实施乡村振兴产业路旅游路</w:t>
            </w:r>
            <w:r>
              <w:rPr>
                <w:rFonts w:ascii="宋体" w:hAnsi="宋体"/>
                <w:color w:val="000000"/>
                <w:sz w:val="22"/>
              </w:rPr>
              <w:t>780公里，县乡道</w:t>
            </w:r>
          </w:p>
          <w:p>
            <w:pPr>
              <w:adjustRightInd w:val="0"/>
              <w:snapToGrid w:val="0"/>
              <w:ind w:firstLine="0" w:firstLineChars="0"/>
              <w:rPr>
                <w:rFonts w:ascii="宋体" w:hAnsi="宋体"/>
                <w:color w:val="000000"/>
                <w:sz w:val="22"/>
              </w:rPr>
            </w:pPr>
            <w:r>
              <w:rPr>
                <w:rFonts w:hint="eastAsia" w:ascii="宋体" w:hAnsi="宋体"/>
                <w:color w:val="000000"/>
                <w:sz w:val="22"/>
              </w:rPr>
              <w:t>改善提升</w:t>
            </w:r>
            <w:r>
              <w:rPr>
                <w:rFonts w:ascii="宋体" w:hAnsi="宋体"/>
                <w:color w:val="000000"/>
                <w:sz w:val="22"/>
              </w:rPr>
              <w:t>508公里，撤并建制村通畅工程3273公里，通自然村（组）</w:t>
            </w:r>
            <w:r>
              <w:rPr>
                <w:rFonts w:hint="eastAsia" w:ascii="宋体" w:hAnsi="宋体"/>
                <w:color w:val="000000"/>
                <w:sz w:val="22"/>
              </w:rPr>
              <w:t>路</w:t>
            </w:r>
            <w:r>
              <w:rPr>
                <w:rFonts w:ascii="宋体" w:hAnsi="宋体"/>
                <w:color w:val="000000"/>
                <w:sz w:val="22"/>
              </w:rPr>
              <w:t>3165公里，新建桥梁140座，通村公路提档升级（四级双车道）1462公里，安全生命防护工程1562公里，危（旧）桥改造98座。</w:t>
            </w:r>
          </w:p>
          <w:p>
            <w:pPr>
              <w:adjustRightInd w:val="0"/>
              <w:snapToGrid w:val="0"/>
              <w:ind w:firstLine="0" w:firstLineChars="0"/>
              <w:jc w:val="left"/>
              <w:rPr>
                <w:rFonts w:ascii="宋体" w:hAnsi="宋体"/>
                <w:color w:val="000000"/>
                <w:sz w:val="22"/>
              </w:rPr>
            </w:pPr>
            <w:r>
              <w:rPr>
                <w:rFonts w:hint="eastAsia" w:ascii="宋体" w:hAnsi="宋体"/>
                <w:b/>
                <w:color w:val="000000"/>
                <w:sz w:val="22"/>
              </w:rPr>
              <w:t>5.公共停车设施建设。</w:t>
            </w:r>
            <w:r>
              <w:rPr>
                <w:rFonts w:hint="eastAsia" w:ascii="宋体" w:hAnsi="宋体"/>
                <w:color w:val="000000"/>
                <w:sz w:val="22"/>
              </w:rPr>
              <w:t>统筹布局城市停车设施，优化停车设施供给结构，合理配置城市机动车停车位，结合老旧小区、老旧厂区、老旧街区等改造，积极扩建新建停车设施，在学校、医院、办公楼、商业区、旅游景区等重点区域，结合公共交通发展情况，合理确定停车设施规模，解决停车难的问题。“十四五”期间全市计划新建</w:t>
            </w:r>
            <w:r>
              <w:rPr>
                <w:rFonts w:ascii="宋体" w:hAnsi="宋体"/>
                <w:color w:val="000000"/>
                <w:sz w:val="22"/>
              </w:rPr>
              <w:t>42个公共停车场，在城西新建公交专用停车场1个，增造提升既有公共停车场4座，增加980个停车位；建设新能源汽车充电桩500个。</w:t>
            </w:r>
          </w:p>
        </w:tc>
      </w:tr>
    </w:tbl>
    <w:p>
      <w:pPr>
        <w:pStyle w:val="6"/>
        <w:ind w:firstLine="141"/>
        <w:rPr>
          <w:color w:val="000000"/>
        </w:rPr>
      </w:pPr>
      <w:bookmarkStart w:id="251" w:name="_Toc118566703"/>
      <w:bookmarkStart w:id="252" w:name="_Toc118566303"/>
      <w:bookmarkStart w:id="253" w:name="_Toc118566569"/>
      <w:bookmarkStart w:id="254" w:name="_Toc118566436"/>
      <w:r>
        <w:rPr>
          <w:rFonts w:hint="eastAsia"/>
          <w:color w:val="000000"/>
        </w:rPr>
        <w:t>（二）</w:t>
      </w:r>
      <w:r>
        <w:rPr>
          <w:color w:val="000000"/>
        </w:rPr>
        <w:t>强化供应设施保障</w:t>
      </w:r>
      <w:bookmarkEnd w:id="251"/>
      <w:bookmarkEnd w:id="252"/>
      <w:bookmarkEnd w:id="253"/>
      <w:bookmarkEnd w:id="254"/>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w:t>
      </w:r>
      <w:r>
        <w:rPr>
          <w:rFonts w:hint="eastAsia" w:ascii="宋体" w:hAnsi="宋体"/>
          <w:color w:val="000000"/>
        </w:rPr>
        <w:t>强力推进</w:t>
      </w:r>
      <w:r>
        <w:rPr>
          <w:rFonts w:ascii="宋体" w:hAnsi="宋体"/>
          <w:color w:val="000000"/>
        </w:rPr>
        <w:t>城乡统筹</w:t>
      </w:r>
      <w:r>
        <w:rPr>
          <w:rFonts w:hint="eastAsia" w:ascii="宋体" w:hAnsi="宋体"/>
          <w:color w:val="000000"/>
        </w:rPr>
        <w:t>区域供水</w:t>
      </w:r>
    </w:p>
    <w:p>
      <w:pPr>
        <w:adjustRightInd w:val="0"/>
        <w:snapToGrid w:val="0"/>
        <w:ind w:firstLine="560"/>
        <w:rPr>
          <w:rFonts w:ascii="宋体" w:hAnsi="宋体"/>
          <w:color w:val="000000"/>
        </w:rPr>
      </w:pPr>
      <w:r>
        <w:rPr>
          <w:rFonts w:hint="eastAsia" w:ascii="宋体" w:hAnsi="宋体"/>
          <w:color w:val="000000"/>
        </w:rPr>
        <w:t>规模化布设水厂。充分考虑水厂运营的规模经济与运行优化，对水厂进行高效配置，加快推进朝天区双峡湖供水工程建设，满足朝天镇、中子镇供水需求，建成曾家场镇供水工程。有序关闭</w:t>
      </w:r>
      <w:r>
        <w:rPr>
          <w:rFonts w:ascii="宋体" w:hAnsi="宋体"/>
          <w:color w:val="000000"/>
        </w:rPr>
        <w:t>110厂、112厂等厂矿居住区及公共供水管网覆盖范围内的自备井，淘汰工艺落后、能耗大、水质水量保证率低的小规模水厂。</w:t>
      </w:r>
    </w:p>
    <w:p>
      <w:pPr>
        <w:adjustRightInd w:val="0"/>
        <w:snapToGrid w:val="0"/>
        <w:ind w:firstLine="560"/>
        <w:rPr>
          <w:rFonts w:ascii="宋体" w:hAnsi="宋体"/>
        </w:rPr>
      </w:pPr>
      <w:r>
        <w:rPr>
          <w:rFonts w:ascii="宋体" w:hAnsi="宋体"/>
        </w:rPr>
        <w:t>加强供水设施改造与建设</w:t>
      </w:r>
      <w:r>
        <w:rPr>
          <w:rFonts w:hint="eastAsia" w:ascii="宋体" w:hAnsi="宋体"/>
        </w:rPr>
        <w:t>。加强对水源污染、设施老化落后等导致的供水水质不能稳定达标的水厂、管网和二次供水设施进行更新改造，保障用户龙头水水量充沛和水质安全。针对现状供水能力不足的区县加强水厂、管网和二次供水设施的新建，结合城市更新扩大公共供水管网覆盖范围，有效降低管网漏损率。加快中心城区鱼洞水厂、三江新区供水工程建设，开展白龙水厂二期、雷家河水厂及配套管网工程的前期工作，实施西湾水厂取水工程迁建项目、昭化区元柳供水厂、金堆新区供水厂、龙洞背供水工程建设、朝天区城区老旧供水管网改造工程；加快推进苍溪县百利新区供水工程、苍溪经开区供水及污水管网项目、老旧供水管网改造，旺苍县鱼林水厂、龙珠水厂、西线至东线供水管网、环城中路等供水工程建设。</w:t>
      </w:r>
    </w:p>
    <w:p>
      <w:pPr>
        <w:pStyle w:val="7"/>
        <w:tabs>
          <w:tab w:val="left" w:pos="720"/>
        </w:tabs>
        <w:adjustRightInd w:val="0"/>
        <w:snapToGrid w:val="0"/>
        <w:rPr>
          <w:rFonts w:ascii="宋体" w:hAnsi="宋体"/>
          <w:color w:val="000000"/>
        </w:rPr>
      </w:pPr>
      <w:r>
        <w:rPr>
          <w:rFonts w:hint="eastAsia" w:ascii="宋体" w:hAnsi="宋体"/>
          <w:color w:val="000000"/>
        </w:rPr>
        <w:t>2</w:t>
      </w:r>
      <w:r>
        <w:rPr>
          <w:rFonts w:ascii="宋体" w:hAnsi="宋体"/>
          <w:color w:val="000000"/>
        </w:rPr>
        <w:t>.</w:t>
      </w:r>
      <w:r>
        <w:rPr>
          <w:rFonts w:hint="eastAsia" w:ascii="宋体" w:hAnsi="宋体"/>
          <w:color w:val="000000"/>
        </w:rPr>
        <w:t>加强城镇供气系统建设</w:t>
      </w:r>
    </w:p>
    <w:p>
      <w:pPr>
        <w:adjustRightInd w:val="0"/>
        <w:snapToGrid w:val="0"/>
        <w:ind w:firstLine="560"/>
        <w:rPr>
          <w:rFonts w:ascii="宋体" w:hAnsi="宋体"/>
          <w:color w:val="000000"/>
        </w:rPr>
      </w:pPr>
      <w:r>
        <w:rPr>
          <w:rFonts w:hint="eastAsia" w:ascii="宋体" w:hAnsi="宋体"/>
          <w:color w:val="000000"/>
        </w:rPr>
        <w:t>加强城镇燃气管网建设。推进朝天区羊木片区、沙河片区天然气输配工程，加强旺苍县剑阁</w:t>
      </w:r>
      <w:r>
        <w:rPr>
          <w:rFonts w:ascii="宋体" w:hAnsi="宋体"/>
          <w:color w:val="000000"/>
        </w:rPr>
        <w:t>-旺苍复线、白水-尚武、嘉州路天然气中压管网建设，苍溪县燃气配套管网建设，满足辖区工业、商业、居民用气需求，完善城市燃气管网；加强城市燃气管网向乡镇延伸建设，加快朝天区大滩镇、朝天镇区域天然气输配工程，逐步实现城乡燃气设施一体化。着力推进材质老化或漏损严重城镇老旧燃气管网的升级改造，构建系统完善的城镇燃气管道网络，提高城镇燃气服务水平和管网覆盖面积。加强燃气储配设施建设，推进苍溪县川东北储气调峰项目建设，加快朝天区LNG、CNG</w:t>
      </w:r>
      <w:r>
        <w:rPr>
          <w:rFonts w:hint="eastAsia" w:ascii="宋体" w:hAnsi="宋体"/>
          <w:color w:val="000000"/>
        </w:rPr>
        <w:t>加气站项目建设，推进天然气应急调峰</w:t>
      </w:r>
      <w:r>
        <w:rPr>
          <w:rFonts w:ascii="宋体" w:hAnsi="宋体"/>
          <w:color w:val="000000"/>
        </w:rPr>
        <w:t>LNG标准站建设，提高城镇燃气调峰、应急、储备能力。</w:t>
      </w:r>
    </w:p>
    <w:p>
      <w:pPr>
        <w:pStyle w:val="7"/>
        <w:tabs>
          <w:tab w:val="left" w:pos="720"/>
        </w:tabs>
        <w:adjustRightInd w:val="0"/>
        <w:snapToGrid w:val="0"/>
        <w:rPr>
          <w:rFonts w:ascii="宋体" w:hAnsi="宋体"/>
          <w:color w:val="000000"/>
        </w:rPr>
      </w:pPr>
      <w:r>
        <w:rPr>
          <w:rFonts w:hint="eastAsia" w:ascii="宋体" w:hAnsi="宋体"/>
          <w:color w:val="000000"/>
        </w:rPr>
        <w:t>3</w:t>
      </w:r>
      <w:r>
        <w:rPr>
          <w:rFonts w:ascii="宋体" w:hAnsi="宋体"/>
          <w:color w:val="000000"/>
        </w:rPr>
        <w:t>.</w:t>
      </w:r>
      <w:r>
        <w:rPr>
          <w:rFonts w:hint="eastAsia" w:ascii="宋体" w:hAnsi="宋体"/>
          <w:color w:val="000000"/>
        </w:rPr>
        <w:t>加强电力系统设施建设</w:t>
      </w:r>
    </w:p>
    <w:p>
      <w:pPr>
        <w:adjustRightInd w:val="0"/>
        <w:snapToGrid w:val="0"/>
        <w:ind w:firstLine="560"/>
        <w:rPr>
          <w:rFonts w:ascii="宋体" w:hAnsi="宋体"/>
          <w:color w:val="000000"/>
        </w:rPr>
      </w:pPr>
      <w:r>
        <w:rPr>
          <w:rFonts w:hint="eastAsia" w:ascii="宋体" w:hAnsi="宋体"/>
          <w:color w:val="000000"/>
        </w:rPr>
        <w:t>以提高终端用户的供电质量和可靠性为核心，统一规划城乡配电网，以“强主网、优配网”的发展思路，加快建设以</w:t>
      </w:r>
      <w:r>
        <w:rPr>
          <w:rFonts w:ascii="宋体" w:hAnsi="宋体"/>
          <w:color w:val="000000"/>
        </w:rPr>
        <w:t>500千伏、220千伏网架为支撑，各电压等级协调匹配、灵活可靠的坚强电力网络。在全力服务绿色铝产业、绿色家居、新材料、商贸物流、食品医药等产业快速发展的基础上，力争开工建设青川220千伏变电站，在广元北部地区形成环网，有效提升主网供电可靠性。加快推动昭化500千伏变电站扩建工程，争取500千伏电网加强工程、盘龙220千伏开关站尽早落地，推动主网供电能力跨越式提升，同时进一步加强青川地网建设。</w:t>
      </w:r>
      <w:r>
        <w:rPr>
          <w:rFonts w:hint="eastAsia" w:ascii="宋体" w:hAnsi="宋体"/>
          <w:color w:val="000000"/>
        </w:rPr>
        <w:t>聚焦重点产业发展和乡村振兴战略，进一步完善全市电网输配网络，优化配网结构，构建城乡一体化电网发展格局。建成苍溪江南</w:t>
      </w:r>
      <w:r>
        <w:rPr>
          <w:rFonts w:ascii="宋体" w:hAnsi="宋体"/>
          <w:color w:val="000000"/>
        </w:rPr>
        <w:t>110千伏输变电工程，启动昭化城东、经开区石盘110千伏等输变电工程，新增变电容量30万千伏安以上。新改扩建旺苍黄洋、剑阁羊岭等35千伏输变电项目19个，新增变电容量13.42万千伏安。优化网络架构，加快设备更新，逐步解决线路重载和互倒互供能力较弱的问题，进一步提高用电安全保障。</w:t>
      </w:r>
    </w:p>
    <w:p>
      <w:pPr>
        <w:pStyle w:val="6"/>
        <w:ind w:firstLine="141"/>
        <w:rPr>
          <w:color w:val="000000"/>
        </w:rPr>
      </w:pPr>
      <w:bookmarkStart w:id="255" w:name="_Toc118566704"/>
      <w:bookmarkStart w:id="256" w:name="_Toc118566304"/>
      <w:bookmarkStart w:id="257" w:name="_Toc118566570"/>
      <w:bookmarkStart w:id="258" w:name="_Toc118566437"/>
      <w:r>
        <w:rPr>
          <w:rFonts w:hint="eastAsia"/>
          <w:color w:val="000000"/>
        </w:rPr>
        <w:t>（三）完善污水</w:t>
      </w:r>
      <w:r>
        <w:rPr>
          <w:color w:val="000000"/>
        </w:rPr>
        <w:t>处理效能</w:t>
      </w:r>
      <w:bookmarkEnd w:id="255"/>
      <w:bookmarkEnd w:id="256"/>
      <w:bookmarkEnd w:id="257"/>
      <w:bookmarkEnd w:id="258"/>
    </w:p>
    <w:p>
      <w:pPr>
        <w:pStyle w:val="7"/>
        <w:tabs>
          <w:tab w:val="left" w:pos="720"/>
        </w:tabs>
        <w:adjustRightInd w:val="0"/>
        <w:snapToGrid w:val="0"/>
        <w:rPr>
          <w:rFonts w:ascii="宋体" w:hAnsi="宋体"/>
          <w:color w:val="000000"/>
        </w:rPr>
      </w:pPr>
      <w:r>
        <w:rPr>
          <w:rFonts w:ascii="宋体" w:hAnsi="宋体"/>
          <w:color w:val="000000"/>
        </w:rPr>
        <w:t>1.加快推进城镇污水管网全覆盖</w:t>
      </w:r>
    </w:p>
    <w:p>
      <w:pPr>
        <w:adjustRightInd w:val="0"/>
        <w:snapToGrid w:val="0"/>
        <w:ind w:firstLine="560"/>
        <w:rPr>
          <w:rFonts w:ascii="宋体" w:hAnsi="宋体"/>
          <w:color w:val="000000"/>
        </w:rPr>
      </w:pPr>
      <w:r>
        <w:rPr>
          <w:rFonts w:hint="eastAsia" w:ascii="宋体" w:hAnsi="宋体"/>
          <w:color w:val="000000"/>
        </w:rPr>
        <w:t>结合《广元市城镇污水处理设施建设三年推进实施方案</w:t>
      </w:r>
      <w:r>
        <w:rPr>
          <w:rFonts w:ascii="宋体" w:hAnsi="宋体"/>
          <w:color w:val="000000"/>
        </w:rPr>
        <w:t>(2021-2023年》的要求，全面提高城镇生活污水收集、处理能力。加大生活污水收集管网配套建设和改造力度，持续推进城中村、老旧城区、城乡结合部等城市“空白区”污水管网的建设，加快补齐建制镇污水管网短板，积极推进新建污水处理设施配套管网建设行动；有序实施城镇排水老旧破损管网改造修复，结合老旧小区和市政道路改造，推动支线管网和出户管的连接建设，实施混错接、漏接、老旧破损管网</w:t>
      </w:r>
      <w:r>
        <w:rPr>
          <w:rFonts w:hint="eastAsia" w:ascii="宋体" w:hAnsi="宋体"/>
          <w:color w:val="000000"/>
        </w:rPr>
        <w:t>改造</w:t>
      </w:r>
      <w:r>
        <w:rPr>
          <w:rFonts w:ascii="宋体" w:hAnsi="宋体"/>
          <w:color w:val="000000"/>
        </w:rPr>
        <w:t>修复，加快实施进水生化需氧量（BOD）浓度低于100毫克</w:t>
      </w:r>
      <w:r>
        <w:rPr>
          <w:rFonts w:hint="eastAsia" w:ascii="宋体" w:hAnsi="宋体"/>
          <w:color w:val="000000"/>
        </w:rPr>
        <w:t>/</w:t>
      </w:r>
      <w:r>
        <w:rPr>
          <w:rFonts w:ascii="宋体" w:hAnsi="宋体"/>
          <w:color w:val="000000"/>
        </w:rPr>
        <w:t>升的城市生活污水厂服务片区管</w:t>
      </w:r>
      <w:r>
        <w:rPr>
          <w:rFonts w:hint="eastAsia" w:ascii="宋体" w:hAnsi="宋体"/>
          <w:color w:val="000000"/>
        </w:rPr>
        <w:t>网系统化整治。因地制宜实施雨污分流改造，具备雨污分流改造条件的应彻底实施雨污分流改造，对于不具备分流条件的，通过截流、调蓄等方式，减少雨季溢流污染。</w:t>
      </w:r>
    </w:p>
    <w:p>
      <w:pPr>
        <w:adjustRightInd w:val="0"/>
        <w:snapToGrid w:val="0"/>
        <w:ind w:firstLine="560"/>
        <w:rPr>
          <w:rFonts w:ascii="宋体" w:hAnsi="宋体"/>
          <w:color w:val="000000"/>
        </w:rPr>
      </w:pPr>
      <w:r>
        <w:rPr>
          <w:rFonts w:hint="eastAsia" w:ascii="宋体" w:hAnsi="宋体"/>
          <w:color w:val="000000"/>
        </w:rPr>
        <w:t>启动实施中心城区污水收集管网建设及改造修复工程，推进利州区清江河流域下游污水综合治理项目，利州区宝轮片区、三堆片区污水收集管网改造项目，宝轮煤矿社区至西洲污水处理厂排污干管建设、回龙河污水管网延伸工程等项目；加强朝天区污水管网新建与改建，昭化区及其辖区建制镇污水管网建设、东部新城、长滩河沿岸污水管网建设以及老城区管网雨污分流改造，加强经开区塔山湾污水管网、第二污水处理厂配套管网新建及改造修复等项目。</w:t>
      </w:r>
    </w:p>
    <w:p>
      <w:pPr>
        <w:adjustRightInd w:val="0"/>
        <w:snapToGrid w:val="0"/>
        <w:ind w:firstLine="560"/>
        <w:rPr>
          <w:rFonts w:ascii="宋体" w:hAnsi="宋体"/>
          <w:color w:val="000000"/>
        </w:rPr>
      </w:pPr>
      <w:r>
        <w:rPr>
          <w:rFonts w:hint="eastAsia" w:ascii="宋体" w:hAnsi="宋体"/>
          <w:color w:val="000000"/>
        </w:rPr>
        <w:t>推进苍溪县石家坝污水处理厂（扩建）及污水管网建设、百利新区污水管网建设项目，实施剑阁县宝龙山片区污水管网建设（一期）、下寺村污管网工程建设、闻溪河雨污管网建设项目，推进沙溪坝片区、龙江大道沿河、温泉路</w:t>
      </w:r>
      <w:r>
        <w:rPr>
          <w:rFonts w:ascii="宋体" w:hAnsi="宋体"/>
          <w:color w:val="000000"/>
        </w:rPr>
        <w:t>B段沿河等污水管网改造工程，加快旺苍县城区及黄家沟污水管网工程建设等项目。</w:t>
      </w:r>
    </w:p>
    <w:p>
      <w:pPr>
        <w:pStyle w:val="7"/>
        <w:tabs>
          <w:tab w:val="left" w:pos="720"/>
        </w:tabs>
        <w:adjustRightInd w:val="0"/>
        <w:snapToGrid w:val="0"/>
        <w:rPr>
          <w:rFonts w:ascii="宋体" w:hAnsi="宋体"/>
          <w:color w:val="000000"/>
        </w:rPr>
      </w:pPr>
      <w:r>
        <w:rPr>
          <w:rFonts w:ascii="宋体" w:hAnsi="宋体"/>
          <w:color w:val="000000"/>
        </w:rPr>
        <w:t>2.加大城镇污水处理厂建设和改造力度</w:t>
      </w:r>
    </w:p>
    <w:p>
      <w:pPr>
        <w:adjustRightInd w:val="0"/>
        <w:snapToGrid w:val="0"/>
        <w:ind w:firstLine="560"/>
        <w:rPr>
          <w:rFonts w:ascii="宋体" w:hAnsi="宋体"/>
          <w:color w:val="000000"/>
        </w:rPr>
      </w:pPr>
      <w:r>
        <w:rPr>
          <w:rFonts w:hint="eastAsia" w:ascii="宋体" w:hAnsi="宋体"/>
          <w:color w:val="000000"/>
        </w:rPr>
        <w:t>加快实施污水处理厂新（改、扩）建工程，补齐生活污水处理能力“短板”，科学确定生活污水处理厂总体规模和布局，针对目前不具备污水集中处理能力的城镇要尽快建成生活污水收集处理设施；应建未建生活污水处理设施、现有处理设施未正常运行、水环境容量较低以及未达到水环境考核目标要求的河流沿线地区要加快提升污水处理能力，已建成未投运的生活污水处理设施应尽快实现稳定运行、达标排放。以嘉陵江干流及其一级支流和白龙湖库区等为重点，对全市范围内原处理标准较低、未达标运行的城镇污水厂，通过合理改造排污口、增加人工湿地、增设调蓄、生化设施等技术措施进行污水处理技改升级。</w:t>
      </w:r>
    </w:p>
    <w:p>
      <w:pPr>
        <w:adjustRightInd w:val="0"/>
        <w:snapToGrid w:val="0"/>
        <w:ind w:firstLine="560"/>
        <w:rPr>
          <w:rFonts w:ascii="宋体" w:hAnsi="宋体"/>
          <w:color w:val="000000"/>
        </w:rPr>
      </w:pPr>
      <w:r>
        <w:rPr>
          <w:rFonts w:hint="eastAsia" w:ascii="宋体" w:hAnsi="宋体"/>
          <w:color w:val="000000"/>
        </w:rPr>
        <w:t>加快推进中心城区宝昭污水处理厂、空港污水处理厂工程建设，实施利州区芳香南山污水处理站及配套设施工程、朝天区城镇污水处理厂（站）建设项目，持续推进昭化区城镇污水处理新三年（</w:t>
      </w:r>
      <w:r>
        <w:rPr>
          <w:rFonts w:ascii="宋体" w:hAnsi="宋体"/>
          <w:color w:val="000000"/>
        </w:rPr>
        <w:t>2021-2023）推进方案及城镇污水提质增效三年（2019-2021）行动方案项目工程；加强苍溪县百利新区污水处理厂项目、剑阁县下寺污水处理厂扩容及提标改造、旺苍县城市污水处理厂改扩建等项目建设。</w:t>
      </w:r>
    </w:p>
    <w:p>
      <w:pPr>
        <w:pStyle w:val="7"/>
        <w:tabs>
          <w:tab w:val="left" w:pos="720"/>
        </w:tabs>
        <w:adjustRightInd w:val="0"/>
        <w:snapToGrid w:val="0"/>
        <w:rPr>
          <w:rFonts w:ascii="宋体" w:hAnsi="宋体"/>
          <w:color w:val="000000"/>
        </w:rPr>
      </w:pPr>
      <w:r>
        <w:rPr>
          <w:rFonts w:ascii="宋体" w:hAnsi="宋体"/>
          <w:color w:val="000000"/>
        </w:rPr>
        <w:t>3.</w:t>
      </w:r>
      <w:r>
        <w:rPr>
          <w:rFonts w:hint="eastAsia" w:ascii="宋体" w:hAnsi="宋体"/>
          <w:color w:val="000000"/>
        </w:rPr>
        <w:t>规范生活污泥处理处置方式</w:t>
      </w:r>
    </w:p>
    <w:p>
      <w:pPr>
        <w:adjustRightInd w:val="0"/>
        <w:snapToGrid w:val="0"/>
        <w:ind w:firstLine="560"/>
        <w:rPr>
          <w:rFonts w:ascii="宋体" w:hAnsi="宋体"/>
          <w:color w:val="000000"/>
        </w:rPr>
      </w:pPr>
      <w:r>
        <w:rPr>
          <w:rFonts w:hint="eastAsia" w:ascii="宋体" w:hAnsi="宋体"/>
          <w:color w:val="000000"/>
        </w:rPr>
        <w:t>坚持在安全，环保和经济的前提下，实现生活污泥的安全处置和综合利用，因地制宜，规范合理地做好生活污泥处置工作。加快推进生活污泥无害化处置，积极推进生活污泥无害化利用。鼓励采用生活污泥焚烧，建筑材料综合利用等方式处置城镇生活污水处理厂污泥。</w:t>
      </w:r>
    </w:p>
    <w:p>
      <w:pPr>
        <w:pStyle w:val="7"/>
        <w:tabs>
          <w:tab w:val="left" w:pos="720"/>
        </w:tabs>
        <w:adjustRightInd w:val="0"/>
        <w:snapToGrid w:val="0"/>
        <w:rPr>
          <w:rFonts w:ascii="宋体" w:hAnsi="宋体"/>
          <w:color w:val="000000"/>
        </w:rPr>
      </w:pPr>
      <w:r>
        <w:rPr>
          <w:rFonts w:ascii="宋体" w:hAnsi="宋体"/>
          <w:color w:val="000000"/>
        </w:rPr>
        <w:t>4.加强污水再生利用设施的建设</w:t>
      </w:r>
    </w:p>
    <w:p>
      <w:pPr>
        <w:adjustRightInd w:val="0"/>
        <w:snapToGrid w:val="0"/>
        <w:ind w:firstLine="560"/>
        <w:rPr>
          <w:rFonts w:ascii="宋体" w:hAnsi="宋体"/>
          <w:color w:val="000000"/>
        </w:rPr>
      </w:pPr>
      <w:r>
        <w:rPr>
          <w:rFonts w:hint="eastAsia" w:ascii="宋体" w:hAnsi="宋体"/>
          <w:color w:val="000000"/>
        </w:rPr>
        <w:t>坚持“就近处理、就地循环”原则，因地制宜确定再生水用途、规模和布局，加快推进再生水利用设施建设，鼓励和支持再生管网建设，增加再生水规模，提高再生水回用率，鼓励城市杂用、工业生产、景观用水、河道补水等方面优先使用再生水；生态住宅小区逐步推行中水回用技术，实现水质的“高质高用，低质低用”，开辟小区能源新途径。到2</w:t>
      </w:r>
      <w:r>
        <w:rPr>
          <w:rFonts w:ascii="宋体" w:hAnsi="宋体"/>
          <w:color w:val="000000"/>
        </w:rPr>
        <w:t>025</w:t>
      </w:r>
      <w:r>
        <w:rPr>
          <w:rFonts w:hint="eastAsia" w:ascii="宋体" w:hAnsi="宋体"/>
          <w:color w:val="000000"/>
        </w:rPr>
        <w:t>年，广元市污水再生水利用率达到2</w:t>
      </w:r>
      <w:r>
        <w:rPr>
          <w:rFonts w:ascii="宋体" w:hAnsi="宋体"/>
          <w:color w:val="000000"/>
        </w:rPr>
        <w:t>0</w:t>
      </w:r>
      <w:r>
        <w:rPr>
          <w:rFonts w:hint="eastAsia" w:ascii="宋体" w:hAnsi="宋体"/>
          <w:color w:val="000000"/>
        </w:rPr>
        <w:t>%。</w:t>
      </w:r>
    </w:p>
    <w:p>
      <w:pPr>
        <w:pStyle w:val="6"/>
        <w:ind w:firstLine="141"/>
        <w:rPr>
          <w:color w:val="000000"/>
        </w:rPr>
      </w:pPr>
      <w:bookmarkStart w:id="259" w:name="_Toc118566705"/>
      <w:bookmarkStart w:id="260" w:name="_Toc118566571"/>
      <w:bookmarkStart w:id="261" w:name="_Toc118566438"/>
      <w:bookmarkStart w:id="262" w:name="_Toc118566305"/>
      <w:r>
        <w:rPr>
          <w:rFonts w:hint="eastAsia"/>
          <w:color w:val="000000"/>
        </w:rPr>
        <w:t>（四）</w:t>
      </w:r>
      <w:r>
        <w:rPr>
          <w:color w:val="000000"/>
        </w:rPr>
        <w:t>优化排水防涝设施</w:t>
      </w:r>
      <w:bookmarkEnd w:id="259"/>
      <w:bookmarkEnd w:id="260"/>
      <w:bookmarkEnd w:id="261"/>
      <w:bookmarkEnd w:id="262"/>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.强化雨水源头减排</w:t>
      </w:r>
    </w:p>
    <w:p>
      <w:pPr>
        <w:adjustRightInd w:val="0"/>
        <w:snapToGrid w:val="0"/>
        <w:ind w:firstLine="560"/>
        <w:rPr>
          <w:rFonts w:ascii="宋体" w:hAnsi="宋体"/>
          <w:color w:val="000000"/>
        </w:rPr>
      </w:pPr>
      <w:r>
        <w:rPr>
          <w:rFonts w:hint="eastAsia" w:ascii="宋体" w:hAnsi="宋体"/>
          <w:color w:val="000000"/>
        </w:rPr>
        <w:t>严格控制建设用地开放强度，落实低影响开发理念，采用生态化“源头控制”技术实现地表径流量控制。在城市道路、停车场、广场推广使用透水性铺装材料，城市新建道路的人行便道采用可下渗结构，既有道路人行道随道路改造进行透水性铺装改造；推行下凹式绿地建设改造，新建小区、道路绿地实施下凹式设计，既有绿地通过围埂适当降低绿地高程，实行下凹式改造；充分利用现有河道、湖泊、水库、湿地及大型公园等等设施合理配建雨水收集等削峰调蓄设施，配套建设雨水泵站自动控制系统和遥测遥控及预警预报系统。</w:t>
      </w:r>
    </w:p>
    <w:p>
      <w:pPr>
        <w:pStyle w:val="7"/>
        <w:tabs>
          <w:tab w:val="left" w:pos="720"/>
        </w:tabs>
        <w:adjustRightInd w:val="0"/>
        <w:snapToGrid w:val="0"/>
        <w:rPr>
          <w:rFonts w:ascii="宋体" w:hAnsi="宋体"/>
          <w:color w:val="000000"/>
        </w:rPr>
      </w:pPr>
      <w:r>
        <w:rPr>
          <w:rFonts w:hint="eastAsia" w:ascii="宋体" w:hAnsi="宋体"/>
          <w:color w:val="000000"/>
        </w:rPr>
        <w:t>2</w:t>
      </w:r>
      <w:r>
        <w:rPr>
          <w:rFonts w:ascii="宋体" w:hAnsi="宋体"/>
          <w:color w:val="000000"/>
        </w:rPr>
        <w:t>.加强城镇排水防涝设施建设</w:t>
      </w:r>
    </w:p>
    <w:p>
      <w:pPr>
        <w:adjustRightInd w:val="0"/>
        <w:snapToGrid w:val="0"/>
        <w:ind w:firstLine="560"/>
        <w:rPr>
          <w:rFonts w:ascii="宋体" w:hAnsi="宋体"/>
          <w:color w:val="000000"/>
        </w:rPr>
      </w:pPr>
      <w:r>
        <w:rPr>
          <w:rFonts w:hint="eastAsia" w:ascii="宋体" w:hAnsi="宋体"/>
          <w:color w:val="000000"/>
        </w:rPr>
        <w:t>全面开展城市排水防涝设施排查。持续推进排水管线病害查找工作，全面梳理排水管网、检查井、泵站及雨污错接混接点存在的结构性和功能性缺陷，摸清排水管网空白区，找出城市排水管网及泵站设施存在的短板。</w:t>
      </w:r>
    </w:p>
    <w:p>
      <w:pPr>
        <w:adjustRightInd w:val="0"/>
        <w:snapToGrid w:val="0"/>
        <w:ind w:firstLine="560"/>
        <w:rPr>
          <w:rFonts w:ascii="宋体" w:hAnsi="宋体"/>
          <w:color w:val="000000"/>
        </w:rPr>
      </w:pPr>
      <w:r>
        <w:rPr>
          <w:rFonts w:hint="eastAsia" w:ascii="宋体" w:hAnsi="宋体"/>
          <w:color w:val="000000"/>
        </w:rPr>
        <w:t>加大城市雨水管网及泵站的建设力度。加大城中村、老旧小区、城乡结合部等空白区雨水管网建设，高质量推进新区排水管网建设，坚持目标导向，提高城市新区雨水管网的建设标准。有针对性加强老旧城区不达标雨水管网的改造提升，加快修复或改造雨污混接、破损堵塞的排水管网，持续推进排水管网、检查井、雨水口清淤和清掏工作。结合排水管网布局，合理设置排水泵站。</w:t>
      </w:r>
    </w:p>
    <w:p>
      <w:pPr>
        <w:adjustRightInd w:val="0"/>
        <w:snapToGrid w:val="0"/>
        <w:ind w:firstLine="560"/>
        <w:rPr>
          <w:rFonts w:hint="eastAsia" w:ascii="宋体" w:hAnsi="宋体"/>
          <w:color w:val="000000"/>
        </w:rPr>
      </w:pPr>
      <w:r>
        <w:rPr>
          <w:rFonts w:hint="eastAsia" w:ascii="宋体" w:hAnsi="宋体"/>
          <w:color w:val="000000"/>
        </w:rPr>
        <w:t>加强中心城区</w:t>
      </w:r>
      <w:r>
        <w:rPr>
          <w:rFonts w:ascii="宋体" w:hAnsi="宋体"/>
          <w:color w:val="000000"/>
        </w:rPr>
        <w:t>24座排水防涝泵站建设、三江新区坪雾坝、刘家河等6个片区排水管渠建设，朝天区羊木片、中子片管渠建设，苍溪县百利新区雨</w:t>
      </w:r>
      <w:r>
        <w:rPr>
          <w:rFonts w:hint="eastAsia" w:ascii="宋体" w:hAnsi="宋体"/>
          <w:color w:val="000000"/>
        </w:rPr>
        <w:t>水管网建设、改造大郅俱乐部雨水泵站，旺苍县新桥片区出口排水渠建设等项目。</w:t>
      </w:r>
    </w:p>
    <w:p>
      <w:pPr>
        <w:adjustRightInd w:val="0"/>
        <w:snapToGrid w:val="0"/>
        <w:ind w:firstLine="560"/>
        <w:rPr>
          <w:rFonts w:ascii="宋体" w:hAnsi="宋体"/>
          <w:color w:val="000000"/>
        </w:rPr>
      </w:pPr>
      <w:r>
        <w:rPr>
          <w:rFonts w:hint="eastAsia" w:ascii="宋体" w:hAnsi="宋体"/>
          <w:color w:val="000000"/>
        </w:rPr>
        <w:t>加强雨水削峰调蓄河排涝通道建设。有序利用城市河湖水系等作为汛期涝水调蓄行泄通道，统筹纳入城市排水防涝专项规划，细化雨洪行泄和调蓄工程计划。结合城市更新改造及生态修复，统筹城区内外，加强保护与修复城市原有河湖沟塘等自然调蓄水面，充分利用绿地、广场、立交桥区空间建设雨水调蓄设施；加强河道清淤疏浚整治工作，结合自然地形地貌、城市内河、次干道路、大型排水明渠干沟建设以及汇水面积较大的自然冲沟，建设雨洪行泄通道。</w:t>
      </w:r>
    </w:p>
    <w:p>
      <w:pPr>
        <w:adjustRightInd w:val="0"/>
        <w:snapToGrid w:val="0"/>
        <w:ind w:firstLine="560"/>
        <w:rPr>
          <w:rFonts w:ascii="宋体" w:hAnsi="宋体"/>
          <w:color w:val="000000"/>
        </w:rPr>
      </w:pPr>
      <w:r>
        <w:rPr>
          <w:rFonts w:hint="eastAsia" w:ascii="宋体" w:hAnsi="宋体"/>
          <w:color w:val="000000"/>
        </w:rPr>
        <w:t>加强利州区宝轮泗河子河道清淤工程、昭化区</w:t>
      </w:r>
      <w:r>
        <w:rPr>
          <w:rFonts w:ascii="宋体" w:hAnsi="宋体"/>
          <w:color w:val="000000"/>
        </w:rPr>
        <w:t>16条排水沟渠建设，苍溪县陈家沟、郭家沟、文焕社区、北门沟排洪沟建设，旺苍县嘉川红旗坝片区、长滩坝片区、东西高速路出口泄洪通道建设。</w:t>
      </w:r>
    </w:p>
    <w:p>
      <w:pPr>
        <w:pStyle w:val="7"/>
        <w:tabs>
          <w:tab w:val="left" w:pos="720"/>
        </w:tabs>
        <w:adjustRightInd w:val="0"/>
        <w:snapToGrid w:val="0"/>
        <w:rPr>
          <w:rFonts w:ascii="宋体" w:hAnsi="宋体"/>
          <w:color w:val="000000"/>
        </w:rPr>
      </w:pPr>
      <w:r>
        <w:rPr>
          <w:rFonts w:hint="eastAsia" w:ascii="宋体" w:hAnsi="宋体"/>
          <w:color w:val="000000"/>
        </w:rPr>
        <w:t>3</w:t>
      </w:r>
      <w:r>
        <w:rPr>
          <w:rFonts w:ascii="宋体" w:hAnsi="宋体"/>
          <w:color w:val="000000"/>
        </w:rPr>
        <w:t>.加强城市易涝点整治</w:t>
      </w:r>
    </w:p>
    <w:p>
      <w:pPr>
        <w:adjustRightInd w:val="0"/>
        <w:snapToGrid w:val="0"/>
        <w:ind w:firstLine="560"/>
        <w:rPr>
          <w:rFonts w:ascii="宋体" w:hAnsi="宋体"/>
          <w:color w:val="000000"/>
        </w:rPr>
      </w:pPr>
      <w:r>
        <w:rPr>
          <w:rFonts w:hint="eastAsia" w:ascii="宋体" w:hAnsi="宋体"/>
          <w:color w:val="000000"/>
        </w:rPr>
        <w:t>持续推进城市易涝点排查，对全市易涝点开展动态排查统计，全面排查城区降雨时易发生快速汇流区域、城区低洼地段及人口密集区域、下穿立交桥、地下空间、隧道涵洞等重点易涝部位，制定易涝点综合整治名单。提高城市易涝区段的排水设计标准，对城市易涝点的雨水口和排水管渠进行改造，科学合理设置大型排水</w:t>
      </w:r>
      <w:r>
        <w:rPr>
          <w:rFonts w:ascii="宋体" w:hAnsi="宋体"/>
          <w:color w:val="000000"/>
        </w:rPr>
        <w:t>(雨水)管廊，加强易涝点合流制管道的雨污分流改造，增大积水点雨水篦子密度，打通雨水排涝通道，加强易涝点排水防涝泵站升级改造；在城市易涝点汇水区范围内，建设雨水滞渗、收集利用等削峰调蓄设施，充分利用绿地、广场、立交桥区空间建设雨水调</w:t>
      </w:r>
      <w:r>
        <w:rPr>
          <w:rFonts w:hint="eastAsia" w:ascii="宋体" w:hAnsi="宋体"/>
          <w:color w:val="000000"/>
        </w:rPr>
        <w:t>蓄设施，对汇水区范围的道路、停车场、广场等进行透水性铺装改造，实行雨水花园增建、下凹式绿地改造等措施，改造和消除城区易涝点。</w:t>
      </w:r>
    </w:p>
    <w:p>
      <w:pPr>
        <w:pStyle w:val="7"/>
        <w:tabs>
          <w:tab w:val="left" w:pos="720"/>
        </w:tabs>
        <w:adjustRightInd w:val="0"/>
        <w:snapToGrid w:val="0"/>
        <w:rPr>
          <w:rFonts w:ascii="宋体" w:hAnsi="宋体"/>
          <w:color w:val="000000"/>
        </w:rPr>
      </w:pPr>
      <w:r>
        <w:rPr>
          <w:rFonts w:hint="eastAsia" w:ascii="宋体" w:hAnsi="宋体"/>
          <w:color w:val="000000"/>
        </w:rPr>
        <w:t>4</w:t>
      </w:r>
      <w:r>
        <w:rPr>
          <w:rFonts w:ascii="宋体" w:hAnsi="宋体"/>
          <w:color w:val="000000"/>
        </w:rPr>
        <w:t>.加强排水防涝应急体系建设</w:t>
      </w:r>
    </w:p>
    <w:p>
      <w:pPr>
        <w:adjustRightInd w:val="0"/>
        <w:snapToGrid w:val="0"/>
        <w:ind w:firstLine="560"/>
        <w:rPr>
          <w:rFonts w:ascii="宋体" w:hAnsi="宋体"/>
          <w:color w:val="000000"/>
        </w:rPr>
      </w:pPr>
      <w:r>
        <w:rPr>
          <w:rFonts w:hint="eastAsia" w:ascii="宋体" w:hAnsi="宋体"/>
          <w:color w:val="000000"/>
        </w:rPr>
        <w:t>建立城市排水防涝风险评估体系和评估制度，推进全市排水（雨水）设施普查工作，建立基于地理信息系统的排水（雨水）设施风险隐患数据库，加大对排水防涝设施建设和运行状况的监管；加强排水防涝突发事件应对的专业应急处置队伍和专家队伍建设，按需储备应急抢险移动泵车、发电机等设施设备，强化应急救援保障，提升应急救援能力；推进排水防涝应急预案的编制，强化应急预案分级分类管理，扩大应急预案覆盖面，加强应急预案演练，提高应急预案的针对性、实用性和可操作性。</w:t>
      </w:r>
    </w:p>
    <w:p>
      <w:pPr>
        <w:adjustRightInd w:val="0"/>
        <w:snapToGrid w:val="0"/>
        <w:ind w:firstLine="560"/>
        <w:rPr>
          <w:rFonts w:ascii="宋体" w:hAnsi="宋体"/>
          <w:color w:val="000000"/>
        </w:rPr>
      </w:pPr>
      <w:r>
        <w:rPr>
          <w:rFonts w:hint="eastAsia" w:ascii="宋体" w:hAnsi="宋体"/>
          <w:color w:val="000000"/>
        </w:rPr>
        <w:t>“十四五”期间全市计划新建或改建雨水管网（管渠）约</w:t>
      </w:r>
      <w:r>
        <w:rPr>
          <w:rFonts w:ascii="宋体" w:hAnsi="宋体"/>
          <w:color w:val="000000"/>
        </w:rPr>
        <w:t>721公里，建设雨水渗滞等削峰、错峰设施建设17.48平方公里，新建或改造机排泵站能力370</w:t>
      </w:r>
      <w:r>
        <w:rPr>
          <w:rFonts w:hint="eastAsia" w:ascii="宋体" w:hAnsi="宋体"/>
          <w:color w:val="000000"/>
        </w:rPr>
        <w:t>立方米</w:t>
      </w:r>
      <w:r>
        <w:rPr>
          <w:rFonts w:ascii="宋体" w:hAnsi="宋体"/>
          <w:color w:val="000000"/>
        </w:rPr>
        <w:t>/秒；调蓄设施203万立方米；行泄通道144.6公里等。</w:t>
      </w:r>
    </w:p>
    <w:p>
      <w:pPr>
        <w:pStyle w:val="6"/>
        <w:ind w:firstLine="141"/>
        <w:rPr>
          <w:color w:val="000000"/>
        </w:rPr>
      </w:pPr>
      <w:bookmarkStart w:id="263" w:name="_Toc118566306"/>
      <w:bookmarkStart w:id="264" w:name="_Toc118566439"/>
      <w:bookmarkStart w:id="265" w:name="_Toc118566572"/>
      <w:bookmarkStart w:id="266" w:name="_Toc118566706"/>
      <w:r>
        <w:rPr>
          <w:rFonts w:hint="eastAsia"/>
          <w:color w:val="000000"/>
        </w:rPr>
        <w:t>（五）推进</w:t>
      </w:r>
      <w:r>
        <w:rPr>
          <w:color w:val="000000"/>
        </w:rPr>
        <w:t>应急避难场所建设</w:t>
      </w:r>
      <w:bookmarkEnd w:id="263"/>
      <w:bookmarkEnd w:id="264"/>
      <w:bookmarkEnd w:id="265"/>
      <w:bookmarkEnd w:id="266"/>
    </w:p>
    <w:p>
      <w:pPr>
        <w:adjustRightInd w:val="0"/>
        <w:snapToGrid w:val="0"/>
        <w:ind w:firstLine="560"/>
        <w:rPr>
          <w:rFonts w:ascii="宋体" w:hAnsi="宋体"/>
          <w:color w:val="000000"/>
        </w:rPr>
      </w:pPr>
      <w:r>
        <w:rPr>
          <w:rFonts w:hint="eastAsia" w:ascii="宋体" w:hAnsi="宋体"/>
          <w:color w:val="000000"/>
        </w:rPr>
        <w:t>在对现有各类应急资源进行普查和有效整合的基础</w:t>
      </w:r>
      <w:r>
        <w:rPr>
          <w:rFonts w:ascii="宋体" w:hAnsi="宋体"/>
          <w:color w:val="000000"/>
        </w:rPr>
        <w:t>上，</w:t>
      </w:r>
      <w:r>
        <w:rPr>
          <w:rFonts w:hint="eastAsia" w:ascii="宋体" w:hAnsi="宋体"/>
          <w:color w:val="000000"/>
        </w:rPr>
        <w:t>分类分级完善应急避难场所设施，统筹调配应急处置所需物料、装备、通信器材、生活用品、应急医疗等物资的储备，增强城镇在突发灾害面前的应对能力，同步建设应急避难场所信息管理和服务平台。到</w:t>
      </w:r>
      <w:r>
        <w:rPr>
          <w:rFonts w:ascii="宋体" w:hAnsi="宋体"/>
          <w:color w:val="000000"/>
        </w:rPr>
        <w:t>2025年，各城镇均应建立起层</w:t>
      </w:r>
      <w:r>
        <w:rPr>
          <w:rFonts w:hint="eastAsia" w:ascii="宋体" w:hAnsi="宋体"/>
          <w:color w:val="000000"/>
        </w:rPr>
        <w:t>次清晰且便于使用的应急避难设施体系。提升应急避难和应急抗灾能力。重视应急避难场所规范化建设，充分贯彻“平灾结合”方针，充分利用城市公园、绿地、广场、体育场、室内公共场馆、学校等公共设施。完善城市消防队</w:t>
      </w:r>
      <w:r>
        <w:rPr>
          <w:rFonts w:ascii="宋体" w:hAnsi="宋体"/>
          <w:color w:val="000000"/>
        </w:rPr>
        <w:t>(站)布局，加强小型消防站建设，推进历史</w:t>
      </w:r>
      <w:r>
        <w:rPr>
          <w:rFonts w:hint="eastAsia" w:ascii="宋体" w:hAnsi="宋体"/>
          <w:color w:val="000000"/>
        </w:rPr>
        <w:t>文化街区消防设施小型化建设，以多种模式推动多级消防体系构建。结合消防重点单位和社区建立微型消防站，推动消防综合救援与急救设施共享，实现功能联动。聚焦城市应急通道整治，保障“生命线”畅通。以“打通生命通道”为主题，动员基层群众力量，开展社区消防应急通道专项整治“五年行动”，及时发现并处理占道停车、占道经营、堆放杂物等侵占应急通道空间的行为。</w:t>
      </w:r>
      <w:r>
        <w:rPr>
          <w:rFonts w:ascii="宋体" w:hAnsi="宋体"/>
          <w:color w:val="000000"/>
        </w:rPr>
        <w:t>2025年，</w:t>
      </w:r>
      <w:r>
        <w:rPr>
          <w:rFonts w:hint="eastAsia" w:ascii="宋体" w:hAnsi="宋体"/>
          <w:color w:val="000000"/>
        </w:rPr>
        <w:t>城镇建成区范围内人均避难场所由现状1</w:t>
      </w:r>
      <w:r>
        <w:rPr>
          <w:rFonts w:ascii="宋体" w:hAnsi="宋体"/>
          <w:color w:val="000000"/>
        </w:rPr>
        <w:t>.28</w:t>
      </w:r>
      <w:r>
        <w:rPr>
          <w:rFonts w:hint="eastAsia" w:ascii="宋体" w:hAnsi="宋体"/>
          <w:color w:val="000000"/>
        </w:rPr>
        <w:t>㎡提升至1</w:t>
      </w:r>
      <w:r>
        <w:rPr>
          <w:rFonts w:ascii="宋体" w:hAnsi="宋体"/>
          <w:color w:val="000000"/>
        </w:rPr>
        <w:t>.5</w:t>
      </w:r>
      <w:r>
        <w:rPr>
          <w:rFonts w:hint="eastAsia" w:ascii="宋体" w:hAnsi="宋体"/>
          <w:color w:val="000000"/>
        </w:rPr>
        <w:t>㎡。</w:t>
      </w:r>
    </w:p>
    <w:p>
      <w:pPr>
        <w:pStyle w:val="6"/>
        <w:ind w:firstLine="141"/>
        <w:rPr>
          <w:color w:val="000000"/>
        </w:rPr>
      </w:pPr>
      <w:bookmarkStart w:id="267" w:name="_Toc118566440"/>
      <w:bookmarkStart w:id="268" w:name="_Toc118566707"/>
      <w:bookmarkStart w:id="269" w:name="_Toc118566307"/>
      <w:bookmarkStart w:id="270" w:name="_Toc118566573"/>
      <w:r>
        <w:rPr>
          <w:rFonts w:hint="eastAsia"/>
          <w:color w:val="000000"/>
        </w:rPr>
        <w:t>（六）</w:t>
      </w:r>
      <w:r>
        <w:rPr>
          <w:color w:val="000000"/>
        </w:rPr>
        <w:t>完善城市</w:t>
      </w:r>
      <w:r>
        <w:rPr>
          <w:rFonts w:hint="eastAsia"/>
          <w:color w:val="000000"/>
        </w:rPr>
        <w:t>环境卫生设施建设</w:t>
      </w:r>
      <w:bookmarkEnd w:id="267"/>
      <w:bookmarkEnd w:id="268"/>
      <w:bookmarkEnd w:id="269"/>
      <w:bookmarkEnd w:id="270"/>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w:t>
      </w:r>
      <w:r>
        <w:rPr>
          <w:rFonts w:hint="eastAsia" w:ascii="宋体" w:hAnsi="宋体"/>
          <w:color w:val="000000"/>
        </w:rPr>
        <w:t>系统</w:t>
      </w:r>
      <w:r>
        <w:rPr>
          <w:rFonts w:ascii="宋体" w:hAnsi="宋体"/>
          <w:color w:val="000000"/>
        </w:rPr>
        <w:t>推进</w:t>
      </w:r>
      <w:r>
        <w:rPr>
          <w:rFonts w:hint="eastAsia" w:ascii="宋体" w:hAnsi="宋体"/>
          <w:color w:val="000000"/>
        </w:rPr>
        <w:t>城乡生活垃圾处理设施建设</w:t>
      </w:r>
    </w:p>
    <w:p>
      <w:pPr>
        <w:adjustRightInd w:val="0"/>
        <w:snapToGrid w:val="0"/>
        <w:ind w:firstLine="560"/>
        <w:rPr>
          <w:rFonts w:hint="eastAsia" w:ascii="宋体" w:hAnsi="宋体"/>
        </w:rPr>
      </w:pPr>
      <w:r>
        <w:rPr>
          <w:rFonts w:hint="eastAsia" w:ascii="宋体" w:hAnsi="宋体"/>
        </w:rPr>
        <w:t>统筹规划生活垃圾分类处理及资源化利用设施。坚持“区域统筹、共建共享、城乡一体”原则，按照《四川省城乡生活垃圾处理设施建设专项规划编制导则（试行）》和生活垃圾全过程分类要求，将所需资金和土地纳入年度投资计划和土地供应计划，加快构建与生活垃圾分类相匹配的分类处置系统。</w:t>
      </w:r>
    </w:p>
    <w:p>
      <w:pPr>
        <w:adjustRightInd w:val="0"/>
        <w:snapToGrid w:val="0"/>
        <w:ind w:firstLine="560"/>
        <w:rPr>
          <w:rFonts w:hint="eastAsia" w:ascii="宋体" w:hAnsi="宋体"/>
        </w:rPr>
      </w:pPr>
      <w:r>
        <w:rPr>
          <w:rFonts w:hint="eastAsia" w:ascii="宋体" w:hAnsi="宋体"/>
        </w:rPr>
        <w:t>推进生活垃圾分类和处理设施建设。全面推进焚烧处理能力建设，生活垃圾日清运量超过300吨的地区，加快发展以焚烧为主的垃圾处理方式，到2025年基本实现原生生活垃圾“零填埋”；生活垃圾日清运量不足300吨的地区，探索开展小型生活垃圾焚烧设施建设试点。原则上不再新建原生生活垃圾填埋场，现有生活垃圾填埋场主要作为应急保障。苍溪县、剑阁县、青川县要加快生活垃圾处理设施项目建设，青川县、朝天区要对生活垃圾处置厂（场）进厂（场）道路进行改造，满足清运需求。积极推进市生活垃圾焚烧发电厂提标改造，同步加快飞灰、渗滤液、残渣处置设施和可回收物分拣、大件垃圾处理设施建设。</w:t>
      </w:r>
    </w:p>
    <w:p>
      <w:pPr>
        <w:adjustRightInd w:val="0"/>
        <w:snapToGrid w:val="0"/>
        <w:ind w:firstLine="560"/>
        <w:rPr>
          <w:rFonts w:hint="eastAsia" w:ascii="宋体" w:hAnsi="宋体"/>
        </w:rPr>
      </w:pPr>
      <w:r>
        <w:rPr>
          <w:rFonts w:hint="eastAsia" w:ascii="宋体" w:hAnsi="宋体"/>
        </w:rPr>
        <w:t>加快厨余垃圾处理及资源化利用设施建设。按照“集中规模化+分布小型化”“政府统筹+社会协同”的厨余垃圾处理工作模式，全面启动苍溪县、旺苍县、剑阁县、青川县厨余垃圾资源化利用和无害化处理设施建设项目，合理配置厨余垃圾收集容器和收运车辆，加快补齐厨余垃圾处理设施短板，综合利用厨余垃圾开展生物处置和生产工业油脂、生物柴油、沼气等，提高资源化利用水平。同时，引导集贸市场以及有条件的居住区安装符合标准的厨余垃圾处理装置，就地处理餐厨垃圾，到2025年，城市厨余垃圾设施设置率达100%，县城厨余垃圾设施设置率达80%。</w:t>
      </w:r>
    </w:p>
    <w:p>
      <w:pPr>
        <w:adjustRightInd w:val="0"/>
        <w:snapToGrid w:val="0"/>
        <w:ind w:firstLine="560"/>
        <w:rPr>
          <w:rFonts w:hint="eastAsia" w:ascii="宋体" w:hAnsi="宋体"/>
        </w:rPr>
      </w:pPr>
      <w:r>
        <w:rPr>
          <w:rFonts w:hint="eastAsia" w:ascii="宋体" w:hAnsi="宋体"/>
        </w:rPr>
        <w:t>完善城乡生活垃圾分类收运体系。按照“适度超前、循序渐进”原则，统筹推进收集点和中转（压缩）站新（改）建项目建设，配套完善分类收集、分类运输设施设备，基本建成与生活垃圾清运量相匹配的生活垃圾分类收集和分类运输体系，逐步提高生活垃圾分类收运能力，防止“先分后混”和运输环节“二次污染”。到2025年底，利州区、昭化区、朝天区、广元经济技术开发区及剑阁县城市生活垃圾分类成果不断巩固提升，回收利用率保持在40％以上。</w:t>
      </w:r>
    </w:p>
    <w:p>
      <w:pPr>
        <w:pStyle w:val="7"/>
        <w:tabs>
          <w:tab w:val="left" w:pos="720"/>
        </w:tabs>
        <w:adjustRightInd w:val="0"/>
        <w:snapToGrid w:val="0"/>
        <w:rPr>
          <w:rFonts w:ascii="宋体" w:hAnsi="宋体"/>
          <w:color w:val="000000"/>
        </w:rPr>
      </w:pPr>
      <w:r>
        <w:rPr>
          <w:rFonts w:hint="eastAsia" w:ascii="宋体" w:hAnsi="宋体"/>
          <w:color w:val="000000"/>
        </w:rPr>
        <w:t>2</w:t>
      </w:r>
      <w:r>
        <w:rPr>
          <w:rFonts w:ascii="宋体" w:hAnsi="宋体"/>
          <w:color w:val="000000"/>
        </w:rPr>
        <w:t>.</w:t>
      </w:r>
      <w:r>
        <w:rPr>
          <w:rFonts w:hint="eastAsia" w:ascii="宋体" w:hAnsi="宋体"/>
          <w:color w:val="000000"/>
        </w:rPr>
        <w:t>持续推进厕所革命</w:t>
      </w:r>
    </w:p>
    <w:p>
      <w:pPr>
        <w:adjustRightInd w:val="0"/>
        <w:snapToGrid w:val="0"/>
        <w:ind w:firstLine="560"/>
        <w:rPr>
          <w:rFonts w:ascii="宋体" w:hAnsi="宋体"/>
          <w:color w:val="000000"/>
        </w:rPr>
      </w:pPr>
      <w:r>
        <w:rPr>
          <w:rFonts w:hint="eastAsia" w:ascii="宋体" w:hAnsi="宋体"/>
          <w:color w:val="000000"/>
        </w:rPr>
        <w:t>持续推进城镇公共厕所改善工程，以城市更新理念进行城镇老旧公厕改造升级，重点在旧城区、人流密集区和主次干路等区域，配建补建固定公共厕所或移动式公共厕所，新区建设和商业开发要严格按标准配建公共厕所，合理增加无障碍厕位和第三卫生间，方便残疾人和儿童等使用，积极推进智慧公厕建设，提高城镇公共给厕所人性化、精细化、智能化管理水平。</w:t>
      </w:r>
    </w:p>
    <w:p>
      <w:pPr>
        <w:adjustRightInd w:val="0"/>
        <w:snapToGrid w:val="0"/>
        <w:ind w:firstLine="560"/>
        <w:rPr>
          <w:rFonts w:ascii="宋体" w:hAnsi="宋体"/>
          <w:color w:val="000000"/>
        </w:rPr>
      </w:pPr>
      <w:r>
        <w:rPr>
          <w:rFonts w:hint="eastAsia" w:ascii="宋体" w:hAnsi="宋体"/>
          <w:color w:val="000000"/>
        </w:rPr>
        <w:t>“十四五”期间</w:t>
      </w:r>
      <w:r>
        <w:rPr>
          <w:rFonts w:ascii="宋体" w:hAnsi="宋体"/>
          <w:color w:val="000000"/>
        </w:rPr>
        <w:t>，</w:t>
      </w:r>
      <w:r>
        <w:rPr>
          <w:rFonts w:hint="eastAsia" w:ascii="宋体" w:hAnsi="宋体"/>
          <w:color w:val="000000"/>
        </w:rPr>
        <w:t>推进城镇“厕所革命”提升行动。积极推进广元市城镇公共厕所改造提升行动，进一步提升公共厕所人性化、精细化、智能化管理水平，新建城镇公厕</w:t>
      </w:r>
      <w:r>
        <w:rPr>
          <w:rFonts w:ascii="宋体" w:hAnsi="宋体"/>
          <w:color w:val="000000"/>
        </w:rPr>
        <w:t>122个，改造102个。</w:t>
      </w:r>
    </w:p>
    <w:p>
      <w:pPr>
        <w:pStyle w:val="6"/>
        <w:ind w:firstLine="141"/>
        <w:rPr>
          <w:color w:val="000000"/>
        </w:rPr>
      </w:pPr>
      <w:bookmarkStart w:id="271" w:name="_Toc118566441"/>
      <w:bookmarkStart w:id="272" w:name="_Toc118566708"/>
      <w:bookmarkStart w:id="273" w:name="_Toc118566574"/>
      <w:bookmarkStart w:id="274" w:name="_Toc118566308"/>
      <w:r>
        <w:rPr>
          <w:rFonts w:hint="eastAsia"/>
          <w:color w:val="000000"/>
        </w:rPr>
        <w:t>（七）推进新型</w:t>
      </w:r>
      <w:r>
        <w:rPr>
          <w:color w:val="000000"/>
        </w:rPr>
        <w:t>城市基础设施建设</w:t>
      </w:r>
      <w:bookmarkEnd w:id="271"/>
      <w:bookmarkEnd w:id="272"/>
      <w:bookmarkEnd w:id="273"/>
      <w:bookmarkEnd w:id="274"/>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.全面推进城市信息模型（CIM）平台建设</w:t>
      </w:r>
    </w:p>
    <w:p>
      <w:pPr>
        <w:adjustRightInd w:val="0"/>
        <w:snapToGrid w:val="0"/>
        <w:ind w:firstLine="560"/>
        <w:rPr>
          <w:rFonts w:ascii="宋体" w:hAnsi="宋体"/>
          <w:color w:val="000000"/>
        </w:rPr>
      </w:pPr>
      <w:r>
        <w:rPr>
          <w:rFonts w:hint="eastAsia" w:ascii="宋体" w:hAnsi="宋体"/>
          <w:color w:val="000000"/>
        </w:rPr>
        <w:t>全面推进</w:t>
      </w:r>
      <w:r>
        <w:rPr>
          <w:rFonts w:ascii="宋体" w:hAnsi="宋体"/>
          <w:color w:val="000000"/>
        </w:rPr>
        <w:t>CIM平台建设，打造智慧城市的基础平台，构建包括基础地理信息、建筑物和基础设施三维模型的CIM平台数据库，在城市体检、城市安全、智慧市政、智慧交通等方面深化CIM平台应用。建立和完善综合管理信息平台，建成城镇污水处理设施运营监管信息化平台、广元智慧停车云平台等，推进地下管线协同平台、市政排水管网地理信息系统（GIS）、城市综合管理服务平台建设，推动综合管理信息平台与城市信息模型（CIM）基础平台深度融合。</w:t>
      </w:r>
    </w:p>
    <w:p>
      <w:pPr>
        <w:pStyle w:val="7"/>
        <w:tabs>
          <w:tab w:val="left" w:pos="720"/>
        </w:tabs>
        <w:adjustRightInd w:val="0"/>
        <w:snapToGrid w:val="0"/>
        <w:rPr>
          <w:rFonts w:ascii="宋体" w:hAnsi="宋体"/>
          <w:color w:val="000000"/>
        </w:rPr>
      </w:pPr>
      <w:r>
        <w:rPr>
          <w:rFonts w:hint="eastAsia" w:ascii="宋体" w:hAnsi="宋体"/>
          <w:color w:val="000000"/>
        </w:rPr>
        <w:t>2</w:t>
      </w:r>
      <w:r>
        <w:rPr>
          <w:rFonts w:ascii="宋体" w:hAnsi="宋体"/>
          <w:color w:val="000000"/>
        </w:rPr>
        <w:t>.开展传统基础设施智能化建设和改造</w:t>
      </w:r>
    </w:p>
    <w:p>
      <w:pPr>
        <w:adjustRightInd w:val="0"/>
        <w:snapToGrid w:val="0"/>
        <w:ind w:firstLine="560"/>
        <w:rPr>
          <w:rFonts w:ascii="宋体" w:hAnsi="宋体"/>
          <w:color w:val="000000"/>
        </w:rPr>
      </w:pPr>
      <w:r>
        <w:rPr>
          <w:rFonts w:hint="eastAsia" w:ascii="宋体" w:hAnsi="宋体"/>
          <w:color w:val="000000"/>
        </w:rPr>
        <w:t>加强供水、供气、污水、垃圾、排水防涝、园林绿化等市政基础设施的智能化升级改造；深入开展市政基础设施普查，全面掌握现状底数，明确智能化建设和改造任务；推进智能化感知设施建设，推进电力、通信市政基础设施的智能化升级建设和改造，加强已建城市综合管廊、各类管网的数字化升级和智能感知设备部署，实现对市政基础设施运行数据的全面感知和自动采集，实现对管网漏损、排水防涝、燃气安全等及时预警和应急处置，保障市政基础设施安全运行。加快实施广元市中心城区智慧停车场、昭化区智慧化停车场建设项目以及苍溪县城市停车场建设项目。</w:t>
      </w:r>
    </w:p>
    <w:p>
      <w:pPr>
        <w:pStyle w:val="7"/>
        <w:tabs>
          <w:tab w:val="left" w:pos="720"/>
        </w:tabs>
        <w:adjustRightInd w:val="0"/>
        <w:snapToGrid w:val="0"/>
        <w:rPr>
          <w:rFonts w:ascii="宋体" w:hAnsi="宋体"/>
          <w:color w:val="000000"/>
        </w:rPr>
      </w:pPr>
      <w:r>
        <w:rPr>
          <w:rFonts w:hint="eastAsia" w:ascii="宋体" w:hAnsi="宋体"/>
          <w:color w:val="000000"/>
        </w:rPr>
        <w:t>3</w:t>
      </w:r>
      <w:r>
        <w:rPr>
          <w:rFonts w:ascii="宋体" w:hAnsi="宋体"/>
          <w:color w:val="000000"/>
        </w:rPr>
        <w:t>.推动智慧多功能灯杆系统建设</w:t>
      </w:r>
    </w:p>
    <w:p>
      <w:pPr>
        <w:adjustRightInd w:val="0"/>
        <w:snapToGrid w:val="0"/>
        <w:ind w:firstLine="560"/>
        <w:rPr>
          <w:rFonts w:ascii="宋体" w:hAnsi="宋体"/>
          <w:color w:val="000000"/>
        </w:rPr>
      </w:pPr>
      <w:r>
        <w:rPr>
          <w:rFonts w:hint="eastAsia" w:ascii="宋体" w:hAnsi="宋体"/>
          <w:color w:val="000000"/>
        </w:rPr>
        <w:t>积极推动电力塔杆、通信基站、楼面抱杆、监控杆、交通指示牌等各类资源开放共享和数字化改造，鼓励一体化、多功能智能塔杆建设应用，推广应用视频监控、交通管理、环境监测、</w:t>
      </w:r>
      <w:r>
        <w:rPr>
          <w:rFonts w:ascii="宋体" w:hAnsi="宋体"/>
          <w:color w:val="000000"/>
        </w:rPr>
        <w:t>5G通信、信息交互、应急求助等功能于一体的智能塔杆建设，对城市道路空间内各类系统的场外设施进行系统性整合，并预留扩展空间和接口，同步搭建智慧多功能灯杆信息管理平台。</w:t>
      </w:r>
    </w:p>
    <w:p>
      <w:pPr>
        <w:pStyle w:val="7"/>
        <w:tabs>
          <w:tab w:val="left" w:pos="720"/>
        </w:tabs>
        <w:adjustRightInd w:val="0"/>
        <w:snapToGrid w:val="0"/>
        <w:rPr>
          <w:rFonts w:ascii="宋体" w:hAnsi="宋体"/>
          <w:color w:val="000000"/>
        </w:rPr>
      </w:pPr>
      <w:r>
        <w:rPr>
          <w:rFonts w:hint="eastAsia" w:ascii="宋体" w:hAnsi="宋体"/>
          <w:color w:val="000000"/>
        </w:rPr>
        <w:t>4</w:t>
      </w:r>
      <w:r>
        <w:rPr>
          <w:rFonts w:ascii="宋体" w:hAnsi="宋体"/>
          <w:color w:val="000000"/>
        </w:rPr>
        <w:t>.加快构建新能源充电桩网络体系</w:t>
      </w:r>
    </w:p>
    <w:p>
      <w:pPr>
        <w:adjustRightInd w:val="0"/>
        <w:snapToGrid w:val="0"/>
        <w:ind w:firstLine="560"/>
        <w:rPr>
          <w:rFonts w:ascii="宋体" w:hAnsi="宋体"/>
          <w:color w:val="000000"/>
        </w:rPr>
      </w:pPr>
      <w:r>
        <w:rPr>
          <w:rFonts w:hint="eastAsia" w:ascii="宋体" w:hAnsi="宋体"/>
          <w:color w:val="000000"/>
        </w:rPr>
        <w:t>加快在党政机关办公场所、超市卖场、商务楼宇、学校、医院、旅游景区、物流园等公共服务领域推进公（专）用充电基础设施建设。积极布局高速公路、国省沿线快速充电基础设施，形成连接全市主要县区（园区）的县际快充网络。加快实施“充电桩进小区”示范项目，大力推进居民小区充电基础设施建设，推动建设集中式充换电站。支持将充电设施供电纳入配电网专项规划。推进智能充电试点，积极推进“互联网</w:t>
      </w:r>
      <w:r>
        <w:rPr>
          <w:rFonts w:ascii="宋体" w:hAnsi="宋体"/>
          <w:color w:val="000000"/>
        </w:rPr>
        <w:t>+充电基础设施”，建立充电基础设施信息管理平台，用移动互联网、物联网、智能交通、大数据等技术，提供充电桩基础设施监控、检测、运营管理和服务的智</w:t>
      </w:r>
      <w:r>
        <w:rPr>
          <w:rFonts w:hint="eastAsia" w:ascii="宋体" w:hAnsi="宋体"/>
          <w:color w:val="000000"/>
        </w:rPr>
        <w:t>能化水平，实现全市共用充电基础设施互联互通，满足用户充电导航、状态查询、充电预约、费用结算等多样化需求。</w:t>
      </w:r>
    </w:p>
    <w:tbl>
      <w:tblPr>
        <w:tblStyle w:val="18"/>
        <w:tblW w:w="9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vAlign w:val="top"/>
          </w:tcPr>
          <w:p>
            <w:pPr>
              <w:ind w:firstLine="0" w:firstLineChars="0"/>
              <w:jc w:val="center"/>
              <w:rPr>
                <w:rFonts w:ascii="宋体" w:hAnsi="宋体"/>
                <w:b/>
                <w:color w:val="000000"/>
                <w:sz w:val="24"/>
              </w:rPr>
            </w:pPr>
            <w:r>
              <w:rPr>
                <w:rFonts w:hint="eastAsia" w:ascii="宋体" w:hAnsi="宋体"/>
                <w:b/>
                <w:color w:val="000000"/>
                <w:sz w:val="24"/>
              </w:rPr>
              <w:t>专栏3</w:t>
            </w:r>
            <w:r>
              <w:rPr>
                <w:rFonts w:ascii="宋体" w:hAnsi="宋体"/>
                <w:b/>
                <w:color w:val="000000"/>
                <w:sz w:val="24"/>
              </w:rPr>
              <w:t>-6</w:t>
            </w:r>
            <w:r>
              <w:rPr>
                <w:rFonts w:hint="eastAsia" w:ascii="宋体" w:hAnsi="宋体"/>
                <w:b/>
                <w:color w:val="000000"/>
                <w:sz w:val="24"/>
              </w:rPr>
              <w:t>城镇基础设施</w:t>
            </w:r>
            <w:r>
              <w:rPr>
                <w:rFonts w:ascii="宋体" w:hAnsi="宋体"/>
                <w:b/>
                <w:color w:val="000000"/>
                <w:sz w:val="24"/>
              </w:rPr>
              <w:t>建设</w:t>
            </w:r>
            <w:r>
              <w:rPr>
                <w:rFonts w:hint="eastAsia" w:ascii="宋体" w:hAnsi="宋体"/>
                <w:b/>
                <w:color w:val="000000"/>
                <w:sz w:val="24"/>
              </w:rPr>
              <w:t>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vAlign w:val="top"/>
          </w:tcPr>
          <w:p>
            <w:pPr>
              <w:pStyle w:val="21"/>
              <w:numPr>
                <w:ilvl w:val="0"/>
                <w:numId w:val="3"/>
              </w:numPr>
              <w:adjustRightInd w:val="0"/>
              <w:snapToGrid w:val="0"/>
              <w:ind w:left="0" w:firstLine="0" w:firstLineChars="0"/>
              <w:jc w:val="left"/>
              <w:rPr>
                <w:rFonts w:ascii="宋体" w:hAnsi="宋体"/>
                <w:color w:val="000000"/>
                <w:sz w:val="22"/>
              </w:rPr>
            </w:pPr>
            <w:r>
              <w:rPr>
                <w:rFonts w:hint="eastAsia" w:ascii="宋体" w:hAnsi="宋体"/>
                <w:b/>
                <w:color w:val="000000"/>
                <w:sz w:val="22"/>
              </w:rPr>
              <w:t>城镇供水设施建设与升级改造工程。</w:t>
            </w:r>
            <w:r>
              <w:rPr>
                <w:rFonts w:hint="eastAsia" w:ascii="宋体" w:hAnsi="宋体"/>
                <w:color w:val="000000"/>
                <w:sz w:val="22"/>
              </w:rPr>
              <w:t>加快中心城区鱼洞水厂、三江新区供水工程建设，开展白龙水厂二期、雷家河水厂及配套管网工程的前期工作，实施西湾水厂取水工程迁建项目、昭化区元柳供水厂、金堆新区供水厂、龙洞背供水工程建设、朝天区城区老旧供水管网改造工程；加快推进苍溪县百利新区供水工程、江南水厂扩建工程及老旧供水管网改造，旺苍县鱼林水厂、龙珠水厂、西线至东线供水管网、环城中路等供水工程建设。“十四五”期间全市计划新建</w:t>
            </w:r>
            <w:r>
              <w:rPr>
                <w:rFonts w:ascii="宋体" w:hAnsi="宋体"/>
                <w:color w:val="000000"/>
                <w:sz w:val="22"/>
              </w:rPr>
              <w:t>11座供水水厂，改扩建供水水厂3座，扩建供水能力8.5万立方米/日；新建供水管网180.7公里，更新改造老旧供水管网总计60公里。</w:t>
            </w:r>
          </w:p>
          <w:p>
            <w:pPr>
              <w:pStyle w:val="21"/>
              <w:numPr>
                <w:ilvl w:val="0"/>
                <w:numId w:val="3"/>
              </w:numPr>
              <w:adjustRightInd w:val="0"/>
              <w:snapToGrid w:val="0"/>
              <w:ind w:left="0" w:firstLine="0" w:firstLineChars="0"/>
              <w:jc w:val="left"/>
              <w:rPr>
                <w:rFonts w:ascii="宋体" w:hAnsi="宋体"/>
                <w:color w:val="000000"/>
                <w:sz w:val="22"/>
              </w:rPr>
            </w:pPr>
            <w:r>
              <w:rPr>
                <w:rFonts w:hint="eastAsia" w:ascii="宋体" w:hAnsi="宋体"/>
                <w:b/>
                <w:color w:val="000000"/>
                <w:sz w:val="22"/>
              </w:rPr>
              <w:t>城镇燃气输配设施建设与改造工程。</w:t>
            </w:r>
            <w:r>
              <w:rPr>
                <w:rFonts w:hint="eastAsia" w:ascii="宋体" w:hAnsi="宋体"/>
                <w:color w:val="000000"/>
                <w:sz w:val="22"/>
              </w:rPr>
              <w:t>“十四五”期间全市计划新建燃气管网</w:t>
            </w:r>
            <w:r>
              <w:rPr>
                <w:rFonts w:ascii="宋体" w:hAnsi="宋体"/>
                <w:color w:val="000000"/>
                <w:sz w:val="22"/>
              </w:rPr>
              <w:t>374公里，改扩建燃气管网325公里，新建LNG燃气储气罐2个，LNG加气站5座，CNG加气站4座，天然气应急调峰LNG标准站3座。</w:t>
            </w:r>
          </w:p>
          <w:p>
            <w:pPr>
              <w:pStyle w:val="21"/>
              <w:numPr>
                <w:ilvl w:val="0"/>
                <w:numId w:val="3"/>
              </w:numPr>
              <w:adjustRightInd w:val="0"/>
              <w:snapToGrid w:val="0"/>
              <w:ind w:left="0" w:firstLine="0" w:firstLineChars="0"/>
              <w:jc w:val="left"/>
              <w:rPr>
                <w:rFonts w:ascii="宋体" w:hAnsi="宋体"/>
                <w:color w:val="000000"/>
                <w:sz w:val="22"/>
              </w:rPr>
            </w:pPr>
            <w:r>
              <w:rPr>
                <w:rFonts w:hint="eastAsia" w:ascii="宋体" w:hAnsi="宋体"/>
                <w:b/>
                <w:color w:val="000000"/>
                <w:sz w:val="22"/>
              </w:rPr>
              <w:t>城镇电力输配设施建设与改造工程。</w:t>
            </w:r>
            <w:r>
              <w:rPr>
                <w:rFonts w:hint="eastAsia" w:ascii="宋体" w:hAnsi="宋体"/>
                <w:color w:val="000000"/>
                <w:sz w:val="22"/>
              </w:rPr>
              <w:t>“十四五”期间</w:t>
            </w:r>
            <w:r>
              <w:rPr>
                <w:rFonts w:ascii="宋体" w:hAnsi="宋体"/>
                <w:color w:val="000000"/>
                <w:sz w:val="22"/>
              </w:rPr>
              <w:t>建成昭化500千伏变电站扩建工程，规划建设绵阳至广元500千伏线路加强工程。建成昭化-毕家营220千伏线路工程、青川220千伏输变电项目，规划建设经开区盘龙220千伏输变电项目。建成苍溪江南110千伏输变电工程，新建（改扩建）旺苍黄洋、苍溪龙山等35千伏输变电项目21个，启动昭化城东、经开区石盘等110千伏输变电工程。</w:t>
            </w:r>
          </w:p>
          <w:p>
            <w:pPr>
              <w:pStyle w:val="21"/>
              <w:numPr>
                <w:ilvl w:val="0"/>
                <w:numId w:val="3"/>
              </w:numPr>
              <w:adjustRightInd w:val="0"/>
              <w:snapToGrid w:val="0"/>
              <w:ind w:left="0" w:firstLine="0" w:firstLineChars="0"/>
              <w:jc w:val="left"/>
              <w:rPr>
                <w:rFonts w:ascii="宋体" w:hAnsi="宋体"/>
                <w:color w:val="000000"/>
                <w:sz w:val="22"/>
              </w:rPr>
            </w:pPr>
            <w:r>
              <w:rPr>
                <w:rFonts w:hint="eastAsia" w:ascii="宋体" w:hAnsi="宋体"/>
                <w:b/>
                <w:color w:val="000000"/>
                <w:sz w:val="22"/>
              </w:rPr>
              <w:t>城镇</w:t>
            </w:r>
            <w:r>
              <w:rPr>
                <w:rFonts w:ascii="宋体" w:hAnsi="宋体"/>
                <w:b/>
                <w:color w:val="000000"/>
                <w:sz w:val="22"/>
              </w:rPr>
              <w:t>污水设施建设</w:t>
            </w:r>
            <w:r>
              <w:rPr>
                <w:rFonts w:hint="eastAsia" w:ascii="宋体" w:hAnsi="宋体"/>
                <w:b/>
                <w:color w:val="000000"/>
                <w:sz w:val="22"/>
              </w:rPr>
              <w:t>与</w:t>
            </w:r>
            <w:r>
              <w:rPr>
                <w:rFonts w:ascii="宋体" w:hAnsi="宋体"/>
                <w:b/>
                <w:color w:val="000000"/>
                <w:sz w:val="22"/>
              </w:rPr>
              <w:t>改造工程</w:t>
            </w:r>
            <w:r>
              <w:rPr>
                <w:rFonts w:hint="eastAsia" w:ascii="宋体" w:hAnsi="宋体"/>
                <w:b/>
                <w:color w:val="000000"/>
                <w:sz w:val="22"/>
              </w:rPr>
              <w:t>。</w:t>
            </w:r>
            <w:r>
              <w:rPr>
                <w:rFonts w:hint="eastAsia" w:ascii="宋体" w:hAnsi="宋体"/>
                <w:color w:val="000000"/>
                <w:sz w:val="22"/>
              </w:rPr>
              <w:t>“十四五”期间，全市新增污水处理能力</w:t>
            </w:r>
            <w:r>
              <w:rPr>
                <w:rFonts w:ascii="宋体" w:hAnsi="宋体"/>
                <w:color w:val="000000"/>
                <w:sz w:val="22"/>
              </w:rPr>
              <w:t>3.58万立方米每日，改建污水处理能力2.1万立方米每日</w:t>
            </w:r>
            <w:r>
              <w:rPr>
                <w:rFonts w:hint="eastAsia" w:ascii="宋体" w:hAnsi="宋体"/>
                <w:color w:val="000000"/>
                <w:sz w:val="22"/>
              </w:rPr>
              <w:t>，</w:t>
            </w:r>
            <w:r>
              <w:rPr>
                <w:rFonts w:ascii="宋体" w:hAnsi="宋体"/>
                <w:color w:val="000000"/>
                <w:sz w:val="22"/>
              </w:rPr>
              <w:t>新增再生水利用能力300</w:t>
            </w:r>
            <w:r>
              <w:rPr>
                <w:rFonts w:hint="eastAsia" w:ascii="宋体" w:hAnsi="宋体"/>
                <w:color w:val="000000"/>
                <w:sz w:val="22"/>
              </w:rPr>
              <w:t>吨</w:t>
            </w:r>
            <w:r>
              <w:rPr>
                <w:rFonts w:ascii="宋体" w:hAnsi="宋体"/>
                <w:color w:val="000000"/>
                <w:sz w:val="22"/>
              </w:rPr>
              <w:t>每日，新建城镇排水管网698.2公里，改造修复城镇排水管网778公里。</w:t>
            </w:r>
          </w:p>
          <w:p>
            <w:pPr>
              <w:pStyle w:val="21"/>
              <w:numPr>
                <w:ilvl w:val="0"/>
                <w:numId w:val="3"/>
              </w:numPr>
              <w:adjustRightInd w:val="0"/>
              <w:snapToGrid w:val="0"/>
              <w:ind w:left="0" w:firstLine="0" w:firstLineChars="0"/>
              <w:jc w:val="left"/>
              <w:rPr>
                <w:rFonts w:ascii="宋体" w:hAnsi="宋体"/>
                <w:color w:val="000000"/>
                <w:sz w:val="22"/>
              </w:rPr>
            </w:pPr>
            <w:r>
              <w:rPr>
                <w:rFonts w:hint="eastAsia" w:ascii="宋体" w:hAnsi="宋体"/>
                <w:b/>
                <w:color w:val="000000"/>
                <w:sz w:val="22"/>
              </w:rPr>
              <w:t>城镇排水防涝设施建设。</w:t>
            </w:r>
            <w:r>
              <w:rPr>
                <w:rFonts w:hint="eastAsia" w:ascii="宋体" w:hAnsi="宋体"/>
                <w:color w:val="000000"/>
                <w:sz w:val="22"/>
              </w:rPr>
              <w:t>“十四五”期间全市计划新建或改建雨水管网（管渠）约</w:t>
            </w:r>
            <w:r>
              <w:rPr>
                <w:rFonts w:ascii="宋体" w:hAnsi="宋体"/>
                <w:color w:val="000000"/>
                <w:sz w:val="22"/>
              </w:rPr>
              <w:t>721公里，建设雨水渗滞等削峰、错峰设施建设17.48平方公里，新建或改造机排泵站能力370</w:t>
            </w:r>
            <w:r>
              <w:rPr>
                <w:rFonts w:hint="eastAsia" w:ascii="宋体" w:hAnsi="宋体"/>
                <w:color w:val="000000"/>
                <w:sz w:val="22"/>
              </w:rPr>
              <w:t>m³</w:t>
            </w:r>
            <w:r>
              <w:rPr>
                <w:rFonts w:ascii="宋体" w:hAnsi="宋体"/>
                <w:color w:val="000000"/>
                <w:sz w:val="22"/>
              </w:rPr>
              <w:t>/秒；调蓄设施203万立方米；行泄通道144.6公里等。</w:t>
            </w:r>
          </w:p>
          <w:p>
            <w:pPr>
              <w:pStyle w:val="21"/>
              <w:numPr>
                <w:ilvl w:val="0"/>
                <w:numId w:val="3"/>
              </w:numPr>
              <w:adjustRightInd w:val="0"/>
              <w:snapToGrid w:val="0"/>
              <w:ind w:left="0" w:firstLine="0" w:firstLineChars="0"/>
              <w:jc w:val="left"/>
              <w:rPr>
                <w:rFonts w:ascii="宋体" w:hAnsi="宋体"/>
                <w:sz w:val="22"/>
              </w:rPr>
            </w:pPr>
            <w:r>
              <w:rPr>
                <w:rFonts w:hint="eastAsia" w:ascii="宋体" w:hAnsi="宋体"/>
                <w:b/>
                <w:sz w:val="22"/>
              </w:rPr>
              <w:t>城镇环卫设施建设。</w:t>
            </w:r>
            <w:r>
              <w:rPr>
                <w:rFonts w:hint="eastAsia" w:ascii="宋体" w:hAnsi="宋体"/>
                <w:sz w:val="22"/>
              </w:rPr>
              <w:t>“十四五”期间，编制《广元市城乡生活垃圾处理设施建设三年推进实施方案（2021—2023年）》，加快实施厨余垃圾处理及资源化利用、生活垃圾收转运及处理设施、大宗物件处理设施等建设项目，加快推进广元市城市生活垃圾焚。</w:t>
            </w:r>
          </w:p>
          <w:p>
            <w:pPr>
              <w:pStyle w:val="21"/>
              <w:numPr>
                <w:ilvl w:val="0"/>
                <w:numId w:val="3"/>
              </w:numPr>
              <w:adjustRightInd w:val="0"/>
              <w:snapToGrid w:val="0"/>
              <w:ind w:left="0" w:firstLine="0" w:firstLineChars="0"/>
              <w:jc w:val="left"/>
              <w:rPr>
                <w:rFonts w:ascii="宋体" w:hAnsi="宋体"/>
                <w:b/>
                <w:color w:val="000000"/>
                <w:sz w:val="22"/>
              </w:rPr>
            </w:pPr>
            <w:r>
              <w:rPr>
                <w:rFonts w:hint="eastAsia" w:ascii="宋体" w:hAnsi="宋体"/>
                <w:b/>
                <w:color w:val="000000"/>
                <w:sz w:val="22"/>
              </w:rPr>
              <w:t>城镇“厕所革命”提升行动。</w:t>
            </w:r>
            <w:r>
              <w:rPr>
                <w:rFonts w:hint="eastAsia" w:ascii="宋体" w:hAnsi="宋体"/>
                <w:color w:val="000000"/>
                <w:sz w:val="22"/>
              </w:rPr>
              <w:t>积极推进广元市城镇公共厕所改造提升行动，进一步提升公共厕所人性化、精细化、智能化管理水平，新建城镇公厕</w:t>
            </w:r>
            <w:r>
              <w:rPr>
                <w:rFonts w:ascii="宋体" w:hAnsi="宋体"/>
                <w:color w:val="000000"/>
                <w:sz w:val="22"/>
              </w:rPr>
              <w:t>122个，改造102个。</w:t>
            </w:r>
          </w:p>
          <w:p>
            <w:pPr>
              <w:pStyle w:val="21"/>
              <w:numPr>
                <w:ilvl w:val="0"/>
                <w:numId w:val="3"/>
              </w:numPr>
              <w:adjustRightInd w:val="0"/>
              <w:snapToGrid w:val="0"/>
              <w:ind w:left="0" w:firstLine="0" w:firstLineChars="0"/>
              <w:jc w:val="left"/>
              <w:rPr>
                <w:rFonts w:ascii="宋体" w:hAnsi="宋体"/>
                <w:b/>
                <w:color w:val="000000"/>
                <w:sz w:val="22"/>
              </w:rPr>
            </w:pPr>
            <w:r>
              <w:rPr>
                <w:rFonts w:hint="eastAsia" w:ascii="宋体" w:hAnsi="宋体"/>
                <w:b/>
                <w:color w:val="000000"/>
                <w:sz w:val="22"/>
              </w:rPr>
              <w:t>地下综合管廊建设工程。</w:t>
            </w:r>
            <w:r>
              <w:rPr>
                <w:rFonts w:hint="eastAsia" w:ascii="宋体" w:hAnsi="宋体"/>
                <w:color w:val="000000"/>
                <w:sz w:val="22"/>
              </w:rPr>
              <w:t>“十四五”期间全市计划开展</w:t>
            </w:r>
            <w:r>
              <w:rPr>
                <w:rFonts w:ascii="宋体" w:hAnsi="宋体"/>
                <w:color w:val="000000"/>
                <w:sz w:val="22"/>
              </w:rPr>
              <w:t>6个地下综合管廊建设项目，建设规模为59.1公里，总计投资可达39.82亿元。</w:t>
            </w:r>
          </w:p>
          <w:p>
            <w:pPr>
              <w:pStyle w:val="21"/>
              <w:numPr>
                <w:ilvl w:val="0"/>
                <w:numId w:val="3"/>
              </w:numPr>
              <w:adjustRightInd w:val="0"/>
              <w:snapToGrid w:val="0"/>
              <w:ind w:left="0" w:firstLine="0" w:firstLineChars="0"/>
              <w:jc w:val="left"/>
              <w:rPr>
                <w:rFonts w:ascii="宋体" w:hAnsi="宋体"/>
                <w:color w:val="000000"/>
                <w:sz w:val="22"/>
              </w:rPr>
            </w:pPr>
            <w:r>
              <w:rPr>
                <w:rFonts w:hint="eastAsia" w:ascii="宋体" w:hAnsi="宋体"/>
                <w:b/>
                <w:color w:val="000000"/>
                <w:sz w:val="22"/>
              </w:rPr>
              <w:t>城镇新型基础设施建设工程</w:t>
            </w:r>
            <w:r>
              <w:rPr>
                <w:rFonts w:ascii="宋体" w:hAnsi="宋体"/>
                <w:b/>
                <w:color w:val="000000"/>
                <w:sz w:val="22"/>
              </w:rPr>
              <w:t>：</w:t>
            </w:r>
            <w:r>
              <w:rPr>
                <w:rFonts w:hint="eastAsia" w:ascii="宋体" w:hAnsi="宋体"/>
                <w:color w:val="000000"/>
                <w:sz w:val="22"/>
              </w:rPr>
              <w:t>十四五期间</w:t>
            </w:r>
            <w:r>
              <w:rPr>
                <w:rFonts w:ascii="宋体" w:hAnsi="宋体"/>
                <w:color w:val="000000"/>
                <w:sz w:val="22"/>
              </w:rPr>
              <w:t>，</w:t>
            </w:r>
            <w:r>
              <w:rPr>
                <w:rFonts w:hint="eastAsia" w:ascii="宋体" w:hAnsi="宋体"/>
                <w:color w:val="000000"/>
                <w:sz w:val="22"/>
              </w:rPr>
              <w:t>加强供水、供气、污水、电力、电信、垃圾、排水防涝、园林绿化等市政基础设施的智能化升级改造，全面推进基于信息化、数字化、智能化的“新基建”，建立健全市中心城区智慧交通诱导、管理系统。</w:t>
            </w:r>
          </w:p>
        </w:tc>
      </w:tr>
    </w:tbl>
    <w:p>
      <w:pPr>
        <w:pStyle w:val="5"/>
        <w:numPr>
          <w:numId w:val="0"/>
        </w:numPr>
        <w:spacing w:before="190"/>
        <w:rPr>
          <w:rFonts w:ascii="宋体" w:hAnsi="宋体"/>
          <w:color w:val="000000"/>
        </w:rPr>
      </w:pPr>
      <w:bookmarkStart w:id="275" w:name="_Toc118566575"/>
      <w:bookmarkStart w:id="276" w:name="_Toc119916747"/>
      <w:bookmarkStart w:id="277" w:name="_Toc118566309"/>
      <w:bookmarkStart w:id="278" w:name="_Toc118566442"/>
      <w:bookmarkStart w:id="279" w:name="_Toc118566709"/>
      <w:r>
        <w:rPr>
          <w:rFonts w:hint="eastAsia" w:ascii="宋体" w:hAnsi="宋体"/>
          <w:color w:val="000000"/>
        </w:rPr>
        <w:t>八、加快建设完整社区</w:t>
      </w:r>
      <w:bookmarkEnd w:id="275"/>
      <w:bookmarkEnd w:id="276"/>
      <w:bookmarkEnd w:id="277"/>
      <w:bookmarkEnd w:id="278"/>
      <w:bookmarkEnd w:id="279"/>
    </w:p>
    <w:p>
      <w:pPr>
        <w:pStyle w:val="6"/>
        <w:ind w:firstLine="141"/>
        <w:rPr>
          <w:color w:val="000000"/>
        </w:rPr>
      </w:pPr>
      <w:bookmarkStart w:id="280" w:name="_Toc118566576"/>
      <w:bookmarkStart w:id="281" w:name="_Toc118566710"/>
      <w:bookmarkStart w:id="282" w:name="_Toc118566310"/>
      <w:bookmarkStart w:id="283" w:name="_Toc118566443"/>
      <w:r>
        <w:rPr>
          <w:rFonts w:hint="eastAsia"/>
          <w:color w:val="000000"/>
        </w:rPr>
        <w:t>（一）完整居住社区</w:t>
      </w:r>
      <w:r>
        <w:rPr>
          <w:color w:val="000000"/>
        </w:rPr>
        <w:t>配套设施</w:t>
      </w:r>
      <w:bookmarkEnd w:id="280"/>
      <w:bookmarkEnd w:id="281"/>
      <w:bookmarkEnd w:id="282"/>
      <w:bookmarkEnd w:id="283"/>
    </w:p>
    <w:p>
      <w:pPr>
        <w:adjustRightInd w:val="0"/>
        <w:snapToGrid w:val="0"/>
        <w:ind w:firstLine="560"/>
        <w:rPr>
          <w:rFonts w:ascii="宋体" w:hAnsi="宋体"/>
          <w:color w:val="000000"/>
        </w:rPr>
      </w:pPr>
      <w:r>
        <w:rPr>
          <w:rFonts w:hint="eastAsia" w:ascii="宋体" w:hAnsi="宋体"/>
          <w:color w:val="000000"/>
        </w:rPr>
        <w:t>围绕成渝地区双城经济圈高品质生活宜居地建设，以城市体检为路径，结合城市更新行动，全面摸清居住短板，大力推动完整居住社区建设，打造全龄友好包容的</w:t>
      </w:r>
      <w:r>
        <w:rPr>
          <w:rFonts w:ascii="宋体" w:hAnsi="宋体"/>
          <w:color w:val="000000"/>
        </w:rPr>
        <w:t>15分钟幸福美好社区生活圈，焕发老城区新活力。合理确定居住社区规模，落实完整居住社区建设标准，完善社区公共服务，营造社区特色文化，建立社区完整服务体系和治理体系，增强社区共建共治共享能力。以打造“15分钟幸福美好社区生活圈”为抓手，配置教育、医疗、养老、体育、社区e站、菜场、金融设施等基本公共服务，重点建设社区养老、托育等服务，逐步满足居民多样化消费需求，鼓励建设社区</w:t>
      </w:r>
      <w:r>
        <w:rPr>
          <w:rFonts w:hint="eastAsia" w:ascii="宋体" w:hAnsi="宋体"/>
          <w:color w:val="000000"/>
        </w:rPr>
        <w:t>综合体，合理配置邻里公园。到</w:t>
      </w:r>
      <w:r>
        <w:rPr>
          <w:rFonts w:ascii="宋体" w:hAnsi="宋体"/>
          <w:color w:val="000000"/>
        </w:rPr>
        <w:t>2025年，</w:t>
      </w:r>
      <w:r>
        <w:rPr>
          <w:rFonts w:hint="eastAsia" w:ascii="宋体" w:hAnsi="宋体"/>
          <w:color w:val="000000"/>
        </w:rPr>
        <w:t>建设完整社区</w:t>
      </w:r>
      <w:r>
        <w:rPr>
          <w:rFonts w:ascii="宋体" w:hAnsi="宋体"/>
          <w:color w:val="000000"/>
        </w:rPr>
        <w:t>52个，</w:t>
      </w:r>
      <w:r>
        <w:rPr>
          <w:rFonts w:hint="eastAsia" w:ascii="宋体" w:hAnsi="宋体"/>
          <w:color w:val="000000"/>
        </w:rPr>
        <w:t>使</w:t>
      </w:r>
      <w:r>
        <w:rPr>
          <w:rFonts w:ascii="宋体" w:hAnsi="宋体"/>
          <w:color w:val="000000"/>
        </w:rPr>
        <w:t>完整居住社区、15分钟幸福美好社区生活圈覆盖率</w:t>
      </w:r>
      <w:r>
        <w:rPr>
          <w:rFonts w:hint="eastAsia" w:ascii="宋体" w:hAnsi="宋体"/>
          <w:color w:val="000000"/>
        </w:rPr>
        <w:t>由现状的3</w:t>
      </w:r>
      <w:r>
        <w:rPr>
          <w:rFonts w:ascii="宋体" w:hAnsi="宋体"/>
          <w:color w:val="000000"/>
        </w:rPr>
        <w:t>.08</w:t>
      </w:r>
      <w:r>
        <w:rPr>
          <w:rFonts w:hint="eastAsia" w:ascii="宋体" w:hAnsi="宋体"/>
          <w:color w:val="000000"/>
        </w:rPr>
        <w:t>%提升至</w:t>
      </w:r>
      <w:r>
        <w:rPr>
          <w:rFonts w:ascii="宋体" w:hAnsi="宋体"/>
          <w:color w:val="000000"/>
        </w:rPr>
        <w:t>8</w:t>
      </w:r>
      <w:r>
        <w:rPr>
          <w:rFonts w:hint="eastAsia" w:ascii="宋体" w:hAnsi="宋体"/>
          <w:color w:val="000000"/>
        </w:rPr>
        <w:t>0%。</w:t>
      </w:r>
    </w:p>
    <w:p>
      <w:pPr>
        <w:pStyle w:val="6"/>
        <w:ind w:firstLine="141"/>
        <w:rPr>
          <w:color w:val="000000"/>
        </w:rPr>
      </w:pPr>
      <w:bookmarkStart w:id="284" w:name="_Toc118566444"/>
      <w:bookmarkStart w:id="285" w:name="_Toc118566311"/>
      <w:bookmarkStart w:id="286" w:name="_Toc118566711"/>
      <w:bookmarkStart w:id="287" w:name="_Toc118566577"/>
      <w:r>
        <w:rPr>
          <w:rFonts w:hint="eastAsia"/>
          <w:color w:val="000000"/>
        </w:rPr>
        <w:t>（二）</w:t>
      </w:r>
      <w:r>
        <w:rPr>
          <w:color w:val="000000"/>
        </w:rPr>
        <w:t>提升居住社区服务和管理能力</w:t>
      </w:r>
      <w:bookmarkEnd w:id="284"/>
      <w:bookmarkEnd w:id="285"/>
      <w:bookmarkEnd w:id="286"/>
      <w:bookmarkEnd w:id="287"/>
    </w:p>
    <w:p>
      <w:pPr>
        <w:adjustRightInd w:val="0"/>
        <w:snapToGrid w:val="0"/>
        <w:ind w:firstLine="560"/>
        <w:rPr>
          <w:rFonts w:ascii="宋体" w:hAnsi="宋体"/>
          <w:color w:val="000000"/>
          <w:sz w:val="32"/>
          <w:szCs w:val="32"/>
        </w:rPr>
      </w:pPr>
      <w:r>
        <w:rPr>
          <w:rFonts w:hint="eastAsia" w:ascii="宋体" w:hAnsi="宋体"/>
          <w:color w:val="000000"/>
        </w:rPr>
        <w:t>提高物业覆盖和服务水平。坚持新建住宅小区物业服务全覆盖，加快提高城镇老旧小区物业管理覆盖率。完善行业法规和标准，构建以信用为核心的物业服务市场监管体制，强化物业服务事中事后监管机制，进一步加强物业信息公开制度建设。十四五期间</w:t>
      </w:r>
      <w:r>
        <w:rPr>
          <w:rFonts w:ascii="宋体" w:hAnsi="宋体"/>
          <w:color w:val="000000"/>
        </w:rPr>
        <w:t>，</w:t>
      </w:r>
      <w:r>
        <w:rPr>
          <w:rFonts w:hint="eastAsia" w:ascii="宋体" w:hAnsi="宋体" w:cs="宋体"/>
          <w:color w:val="000000"/>
          <w:kern w:val="0"/>
        </w:rPr>
        <w:t>全市住宅小区物业管理覆盖率达到</w:t>
      </w:r>
      <w:r>
        <w:rPr>
          <w:rFonts w:ascii="宋体" w:hAnsi="宋体"/>
          <w:color w:val="000000"/>
        </w:rPr>
        <w:t>6</w:t>
      </w:r>
      <w:r>
        <w:rPr>
          <w:rFonts w:hint="eastAsia" w:ascii="宋体" w:hAnsi="宋体"/>
          <w:color w:val="000000"/>
        </w:rPr>
        <w:t>0%</w:t>
      </w:r>
      <w:r>
        <w:rPr>
          <w:rFonts w:hint="eastAsia" w:ascii="宋体" w:hAnsi="宋体" w:cs="宋体"/>
          <w:color w:val="000000"/>
          <w:kern w:val="0"/>
        </w:rPr>
        <w:t>。</w:t>
      </w:r>
      <w:r>
        <w:rPr>
          <w:rFonts w:hint="eastAsia" w:ascii="宋体" w:hAnsi="宋体"/>
          <w:color w:val="000000"/>
        </w:rPr>
        <w:t>严格执行物业项目招投标制度，探索建立招投标制度与物业企业信用、评优评先挂钩机制。制定《广元市物业管理行业“客户满意度调查”指引》，以业主满意度评价为指引，以康养、避暑地产为重点，提高物业服务水平，支持、引导物业提供“菜单式”服务，促进物业企业转型升级。推行物业服务价格调整机制，加大对群众反应强烈、“质价不符”的物业服务项目的监管力度，依法查处价格违法行为。鼓励有条件的小区提供一站式自助缴费系统、安全检查、家电故障检查等便民服务以及托育、助餐、家政、家电安装维修、商务服务等特约服务。充分发挥维修资金修危修急功能，提高资金使用率，提升专项维修资金使用信息透明度，保障业主知情权、监督权。推动电动自行车车棚建设，持续进行垃圾分类，不断提升人居环境。</w:t>
      </w:r>
    </w:p>
    <w:p>
      <w:pPr>
        <w:adjustRightInd w:val="0"/>
        <w:snapToGrid w:val="0"/>
        <w:ind w:firstLine="560"/>
        <w:rPr>
          <w:rFonts w:ascii="宋体" w:hAnsi="宋体"/>
          <w:color w:val="000000"/>
        </w:rPr>
      </w:pPr>
      <w:r>
        <w:rPr>
          <w:rFonts w:hint="eastAsia" w:ascii="宋体" w:hAnsi="宋体"/>
          <w:color w:val="000000"/>
        </w:rPr>
        <w:t>提升服务能力助推基层治理。落实街道属地管理职责，在街道建立健全居住社区综合治理工作制度，建立物业管理工作机制，明确工作目标。推进党建引领社区治理和物业融合共进，完善党建引领社区物业自治机制，加强社区物业党建联建，打造“红色物业”管理体系。推进业主委员会组建工作，培训业主委员会主要工作人员，增强小区自治共治、共建共享能力。建立省、市、县、街道、社区五级物业管理投诉受理制度和物业服务快速处理调解组织体系，及时化解各类矛盾纠纷。提升物业服务公共应急能力，建立联动机制，强化社区风险防范应对，加强物业服务人员应急处理专业知识和专业能力的培训，提升应急处置能力。</w:t>
      </w:r>
    </w:p>
    <w:p>
      <w:pPr>
        <w:adjustRightInd w:val="0"/>
        <w:snapToGrid w:val="0"/>
        <w:ind w:firstLine="560"/>
        <w:rPr>
          <w:rFonts w:ascii="宋体" w:hAnsi="宋体"/>
          <w:color w:val="000000"/>
        </w:rPr>
      </w:pPr>
      <w:r>
        <w:rPr>
          <w:rFonts w:hint="eastAsia" w:ascii="宋体" w:hAnsi="宋体"/>
          <w:color w:val="000000"/>
        </w:rPr>
        <w:t>加大适老环境改造。实施老年人居家和社区适老化改造工程，持续推进公共服务适老化改造提升。加快智慧技术无障碍建设，便利老年人获取养老服务和老年福利。开发适老化技术和产品，培育满足老年人需求的健康产品专业化生产研发基地，重点发展生活护理、康复辅助、智能穿戴等适老用品产品，促进老年用品消费，开展银发经济。</w:t>
      </w:r>
    </w:p>
    <w:tbl>
      <w:tblPr>
        <w:tblStyle w:val="18"/>
        <w:tblW w:w="9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vAlign w:val="top"/>
          </w:tcPr>
          <w:p>
            <w:pPr>
              <w:ind w:firstLine="0" w:firstLineChars="0"/>
              <w:jc w:val="center"/>
              <w:rPr>
                <w:rFonts w:ascii="宋体" w:hAnsi="宋体"/>
                <w:b/>
                <w:color w:val="000000"/>
                <w:sz w:val="24"/>
              </w:rPr>
            </w:pPr>
            <w:r>
              <w:rPr>
                <w:rFonts w:hint="eastAsia" w:ascii="宋体" w:hAnsi="宋体"/>
                <w:b/>
                <w:color w:val="000000"/>
                <w:sz w:val="24"/>
              </w:rPr>
              <w:t>专栏3</w:t>
            </w:r>
            <w:r>
              <w:rPr>
                <w:rFonts w:ascii="宋体" w:hAnsi="宋体"/>
                <w:b/>
                <w:color w:val="000000"/>
                <w:sz w:val="24"/>
              </w:rPr>
              <w:t>-7</w:t>
            </w:r>
            <w:r>
              <w:rPr>
                <w:rFonts w:hint="eastAsia" w:ascii="宋体" w:hAnsi="宋体"/>
                <w:b/>
                <w:color w:val="000000"/>
                <w:sz w:val="24"/>
              </w:rPr>
              <w:t>完整社区建设专项行动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tcBorders>
              <w:top w:val="single" w:color="auto" w:sz="4" w:space="0"/>
              <w:left w:val="single" w:color="auto" w:sz="4" w:space="0"/>
              <w:bottom w:val="single" w:color="auto" w:sz="4" w:space="0"/>
              <w:right w:val="single" w:color="auto" w:sz="4" w:space="0"/>
            </w:tcBorders>
            <w:vAlign w:val="top"/>
          </w:tcPr>
          <w:p>
            <w:pPr>
              <w:adjustRightInd w:val="0"/>
              <w:snapToGrid w:val="0"/>
              <w:ind w:firstLine="480"/>
              <w:rPr>
                <w:rFonts w:ascii="宋体" w:hAnsi="宋体"/>
                <w:sz w:val="24"/>
                <w:szCs w:val="24"/>
              </w:rPr>
            </w:pPr>
            <w:r>
              <w:rPr>
                <w:rFonts w:hint="eastAsia" w:ascii="宋体" w:hAnsi="宋体"/>
                <w:sz w:val="24"/>
                <w:szCs w:val="24"/>
              </w:rPr>
              <w:t>选取人大佳欣苑、科兴园等示范小区，按照《海绵城市建设技术指南》和《完整居住社区建设指南》，依托老旧小区改造，充分满足需求，统筹地上透水砖铺装、地下燃气排水管网和雨水收集等设施，把解决积水、雨天出行、雨污混接问题和增加绿色游憩空间、改善人行条件、甚至增加无障碍设施等统筹起来，提升居住安全品质。同步改造或建设小区及周边的社区综合服务设施、公共卫生设施、教育设施等智能感知设施，以及养老、托育、助餐、家政保洁、便民市场、便利店、邮政快递末端综合服务站等社区专项服务设施，满足居民多样化需求，提升生活便利度，到</w:t>
            </w:r>
            <w:r>
              <w:rPr>
                <w:rFonts w:ascii="宋体" w:hAnsi="宋体"/>
                <w:sz w:val="24"/>
                <w:szCs w:val="24"/>
              </w:rPr>
              <w:t>2025年，</w:t>
            </w:r>
            <w:r>
              <w:rPr>
                <w:rFonts w:hint="eastAsia" w:ascii="宋体" w:hAnsi="宋体"/>
                <w:sz w:val="24"/>
                <w:szCs w:val="24"/>
              </w:rPr>
              <w:t>建设完整社区</w:t>
            </w:r>
            <w:r>
              <w:rPr>
                <w:rFonts w:ascii="宋体" w:hAnsi="宋体"/>
                <w:sz w:val="24"/>
                <w:szCs w:val="24"/>
              </w:rPr>
              <w:t>52个</w:t>
            </w:r>
            <w:r>
              <w:rPr>
                <w:rFonts w:hint="eastAsia" w:ascii="宋体" w:hAnsi="宋体"/>
                <w:sz w:val="24"/>
                <w:szCs w:val="24"/>
              </w:rPr>
              <w:t>。</w:t>
            </w:r>
          </w:p>
        </w:tc>
      </w:tr>
    </w:tbl>
    <w:p>
      <w:pPr>
        <w:pStyle w:val="2"/>
        <w:rPr>
          <w:rFonts w:hint="eastAsia"/>
        </w:rPr>
      </w:pPr>
    </w:p>
    <w:p>
      <w:pPr>
        <w:pStyle w:val="4"/>
        <w:rPr>
          <w:rFonts w:ascii="宋体" w:hAnsi="宋体"/>
          <w:color w:val="000000"/>
        </w:rPr>
      </w:pPr>
      <w:bookmarkStart w:id="288" w:name="_Toc119916748"/>
      <w:bookmarkStart w:id="289" w:name="_Toc118566578"/>
      <w:bookmarkStart w:id="290" w:name="_Toc118566712"/>
      <w:bookmarkStart w:id="291" w:name="_Toc118566445"/>
      <w:bookmarkStart w:id="292" w:name="_Toc118566312"/>
      <w:r>
        <w:rPr>
          <w:rFonts w:hint="eastAsia" w:ascii="宋体" w:hAnsi="宋体"/>
          <w:color w:val="000000"/>
        </w:rPr>
        <w:t>第四章 建设宜居美丽乡村</w:t>
      </w:r>
      <w:bookmarkEnd w:id="288"/>
      <w:bookmarkEnd w:id="289"/>
      <w:bookmarkEnd w:id="290"/>
      <w:bookmarkEnd w:id="291"/>
      <w:bookmarkEnd w:id="292"/>
    </w:p>
    <w:p>
      <w:pPr>
        <w:pStyle w:val="5"/>
        <w:numPr>
          <w:numId w:val="0"/>
        </w:numPr>
        <w:spacing w:before="190"/>
        <w:rPr>
          <w:rFonts w:ascii="宋体" w:hAnsi="宋体"/>
          <w:color w:val="000000"/>
        </w:rPr>
      </w:pPr>
      <w:bookmarkStart w:id="293" w:name="_Toc118566713"/>
      <w:bookmarkStart w:id="294" w:name="_Toc118566313"/>
      <w:bookmarkStart w:id="295" w:name="_Toc118566446"/>
      <w:bookmarkStart w:id="296" w:name="_Toc119916749"/>
      <w:bookmarkStart w:id="297" w:name="_Toc118566579"/>
      <w:r>
        <w:rPr>
          <w:rFonts w:hint="eastAsia" w:ascii="宋体" w:hAnsi="宋体"/>
          <w:color w:val="000000"/>
        </w:rPr>
        <w:t>一、推动城乡人居环境融合发展</w:t>
      </w:r>
      <w:bookmarkEnd w:id="293"/>
      <w:bookmarkEnd w:id="294"/>
      <w:bookmarkEnd w:id="295"/>
      <w:bookmarkEnd w:id="296"/>
      <w:bookmarkEnd w:id="297"/>
    </w:p>
    <w:p>
      <w:pPr>
        <w:pStyle w:val="6"/>
        <w:ind w:firstLine="141"/>
        <w:rPr>
          <w:color w:val="000000"/>
        </w:rPr>
      </w:pPr>
      <w:bookmarkStart w:id="298" w:name="_Toc118566447"/>
      <w:bookmarkStart w:id="299" w:name="_Toc118566714"/>
      <w:bookmarkStart w:id="300" w:name="_Toc118566580"/>
      <w:bookmarkStart w:id="301" w:name="_Toc118566314"/>
      <w:r>
        <w:rPr>
          <w:rFonts w:hint="eastAsia"/>
          <w:color w:val="000000"/>
        </w:rPr>
        <w:t>（一）</w:t>
      </w:r>
      <w:r>
        <w:rPr>
          <w:color w:val="000000"/>
        </w:rPr>
        <w:t>构建城乡融合发展体系</w:t>
      </w:r>
      <w:bookmarkEnd w:id="298"/>
      <w:bookmarkEnd w:id="299"/>
      <w:bookmarkEnd w:id="300"/>
      <w:bookmarkEnd w:id="301"/>
    </w:p>
    <w:p>
      <w:pPr>
        <w:adjustRightInd w:val="0"/>
        <w:snapToGrid w:val="0"/>
        <w:ind w:firstLine="560"/>
        <w:rPr>
          <w:color w:val="000000"/>
        </w:rPr>
      </w:pPr>
      <w:r>
        <w:rPr>
          <w:rFonts w:hint="eastAsia"/>
          <w:color w:val="000000"/>
        </w:rPr>
        <w:t>结合区域通道建设的及时性和对沿线城镇的带动作用，综合区域经济廊道的辐射和扩散特征，充分考虑利用广元古蜀道申遗的契机和生态文明理念下建设生态康养旅游名市的总体战略，在西成客专、</w:t>
      </w:r>
      <w:r>
        <w:rPr>
          <w:color w:val="000000"/>
        </w:rPr>
        <w:t>108国道、京昆高速、嘉陵江、兰渝铁路复合通道的带动</w:t>
      </w:r>
      <w:r>
        <w:rPr>
          <w:rFonts w:hint="eastAsia"/>
          <w:color w:val="000000"/>
        </w:rPr>
        <w:t>下，强化剑门关和古蜀道文化的旅游带动力和区域知名度，打造以联动区域旅游发展、带动沿线城镇特色化发展的剑门蜀道文化旅游廊为主，以联系南北、对接区域的兰渝交通发展廊为辅的“米字轴带”格局。</w:t>
      </w:r>
    </w:p>
    <w:p>
      <w:pPr>
        <w:adjustRightInd w:val="0"/>
        <w:snapToGrid w:val="0"/>
        <w:ind w:firstLine="560"/>
        <w:rPr>
          <w:color w:val="000000"/>
        </w:rPr>
      </w:pPr>
      <w:r>
        <w:rPr>
          <w:rFonts w:hint="eastAsia"/>
          <w:color w:val="000000"/>
        </w:rPr>
        <w:t>协同推进新型城镇化战略和乡村振兴战略，加快构建城乡融合发展体系，实现大美乡村建设与高质量发展相得益彰。坚持以人为核心的新型城镇化，根据现有城镇基础及未来发展潜力，加快构建区域中心城市</w:t>
      </w:r>
      <w:r>
        <w:rPr>
          <w:color w:val="000000"/>
        </w:rPr>
        <w:t>+县城（功能区）+中心镇的城镇体系，促进城市、城镇、村协调发展。以缩小城乡发展差距和居民生活水平差距为目标，探索差异化的城乡发展路径，不断优化城乡要素自由流动、平等交换和公共资源合理配置，加快形成工农互促、城乡互补、协调发展、共同繁荣的新型工农城乡关系，推动乡村全面振兴，把城乡融合发展作为推进乡村振兴的重要途径。整体提升城乡人居环境水平，促进城乡协调融合的高质量发展。</w:t>
      </w:r>
    </w:p>
    <w:p>
      <w:pPr>
        <w:adjustRightInd w:val="0"/>
        <w:snapToGrid w:val="0"/>
        <w:ind w:firstLine="560"/>
        <w:jc w:val="center"/>
        <w:rPr>
          <w:color w:val="000000"/>
        </w:rPr>
      </w:pPr>
      <w:r>
        <w:rPr>
          <w:rFonts w:ascii="仿宋_GB2312" w:hAnsi="仿宋_GB2312" w:eastAsia="仿宋_GB2312" w:cs="黑体"/>
          <w:color w:val="000000"/>
          <w:kern w:val="2"/>
          <w:sz w:val="32"/>
          <w:szCs w:val="22"/>
          <w:lang w:val="en-US" w:eastAsia="zh-CN" w:bidi="ar-SA"/>
        </w:rPr>
        <w:pict>
          <v:shape id="图片 9" o:spid="_x0000_s1034" type="#_x0000_t75" style="height:244.35pt;width:316.9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adjustRightInd w:val="0"/>
        <w:snapToGrid w:val="0"/>
        <w:ind w:firstLine="480"/>
        <w:jc w:val="center"/>
        <w:rPr>
          <w:color w:val="000000"/>
          <w:sz w:val="24"/>
          <w:szCs w:val="24"/>
        </w:rPr>
      </w:pPr>
      <w:r>
        <w:rPr>
          <w:rFonts w:hint="eastAsia"/>
          <w:color w:val="000000"/>
          <w:sz w:val="24"/>
          <w:szCs w:val="24"/>
        </w:rPr>
        <w:t>城乡融合发展体系图</w:t>
      </w:r>
    </w:p>
    <w:p>
      <w:pPr>
        <w:pStyle w:val="6"/>
        <w:ind w:firstLine="141"/>
        <w:rPr>
          <w:color w:val="000000"/>
        </w:rPr>
      </w:pPr>
      <w:bookmarkStart w:id="302" w:name="_Toc118566448"/>
      <w:bookmarkStart w:id="303" w:name="_Toc118566715"/>
      <w:bookmarkStart w:id="304" w:name="_Toc118566315"/>
      <w:bookmarkStart w:id="305" w:name="_Toc118566581"/>
      <w:r>
        <w:rPr>
          <w:rFonts w:hint="eastAsia"/>
          <w:color w:val="000000"/>
        </w:rPr>
        <w:t>（二）</w:t>
      </w:r>
      <w:r>
        <w:rPr>
          <w:color w:val="000000"/>
        </w:rPr>
        <w:t>以</w:t>
      </w:r>
      <w:r>
        <w:rPr>
          <w:rFonts w:hint="eastAsia"/>
          <w:color w:val="000000"/>
        </w:rPr>
        <w:t>四大产业轴</w:t>
      </w:r>
      <w:r>
        <w:rPr>
          <w:color w:val="000000"/>
        </w:rPr>
        <w:t>统筹</w:t>
      </w:r>
      <w:r>
        <w:rPr>
          <w:rFonts w:hint="eastAsia"/>
          <w:color w:val="000000"/>
        </w:rPr>
        <w:t>推进</w:t>
      </w:r>
      <w:r>
        <w:rPr>
          <w:color w:val="000000"/>
        </w:rPr>
        <w:t>城乡人居环境建设</w:t>
      </w:r>
      <w:bookmarkEnd w:id="302"/>
      <w:bookmarkEnd w:id="303"/>
      <w:bookmarkEnd w:id="304"/>
      <w:bookmarkEnd w:id="305"/>
    </w:p>
    <w:p>
      <w:pPr>
        <w:adjustRightInd w:val="0"/>
        <w:snapToGrid w:val="0"/>
        <w:ind w:firstLine="560"/>
        <w:rPr>
          <w:rStyle w:val="34"/>
          <w:color w:val="000000"/>
        </w:rPr>
      </w:pPr>
      <w:r>
        <w:rPr>
          <w:rStyle w:val="34"/>
          <w:rFonts w:hint="eastAsia"/>
          <w:color w:val="000000"/>
        </w:rPr>
        <w:t>依据市域不同资源环境承载能力、现有开发强度和未来发展潜力，统筹</w:t>
      </w:r>
      <w:r>
        <w:rPr>
          <w:rStyle w:val="34"/>
          <w:color w:val="000000"/>
        </w:rPr>
        <w:t>开发</w:t>
      </w:r>
      <w:r>
        <w:rPr>
          <w:rStyle w:val="34"/>
          <w:rFonts w:hint="eastAsia"/>
          <w:color w:val="000000"/>
        </w:rPr>
        <w:t>“</w:t>
      </w:r>
      <w:r>
        <w:rPr>
          <w:rStyle w:val="34"/>
          <w:color w:val="000000"/>
        </w:rPr>
        <w:t>一带一区</w:t>
      </w:r>
      <w:r>
        <w:rPr>
          <w:rStyle w:val="34"/>
          <w:rFonts w:hint="eastAsia"/>
          <w:color w:val="000000"/>
        </w:rPr>
        <w:t>”。“一</w:t>
      </w:r>
      <w:r>
        <w:rPr>
          <w:rStyle w:val="34"/>
          <w:color w:val="000000"/>
        </w:rPr>
        <w:t>带</w:t>
      </w:r>
      <w:r>
        <w:rPr>
          <w:rStyle w:val="34"/>
          <w:rFonts w:hint="eastAsia"/>
          <w:color w:val="000000"/>
        </w:rPr>
        <w:t>”即</w:t>
      </w:r>
      <w:r>
        <w:rPr>
          <w:rStyle w:val="34"/>
          <w:color w:val="000000"/>
        </w:rPr>
        <w:t>中部河谷城镇发展带</w:t>
      </w:r>
      <w:r>
        <w:rPr>
          <w:rStyle w:val="34"/>
          <w:rFonts w:hint="eastAsia"/>
          <w:color w:val="000000"/>
        </w:rPr>
        <w:t>，以中心城区为发展核心，依托河谷城镇和广巴达万通道，重点发展综合服务、旅游康养和新型制造等功能。“一</w:t>
      </w:r>
      <w:r>
        <w:rPr>
          <w:rStyle w:val="34"/>
          <w:color w:val="000000"/>
        </w:rPr>
        <w:t>区</w:t>
      </w:r>
      <w:r>
        <w:rPr>
          <w:rStyle w:val="34"/>
          <w:rFonts w:hint="eastAsia"/>
          <w:color w:val="000000"/>
        </w:rPr>
        <w:t>”即</w:t>
      </w:r>
      <w:r>
        <w:rPr>
          <w:rStyle w:val="34"/>
          <w:color w:val="000000"/>
        </w:rPr>
        <w:t>南部丘陵绿色产业区</w:t>
      </w:r>
      <w:r>
        <w:rPr>
          <w:rStyle w:val="34"/>
          <w:rFonts w:hint="eastAsia"/>
          <w:color w:val="000000"/>
        </w:rPr>
        <w:t>，进行农产品生产和新能源开采与就地转化。市域通过</w:t>
      </w:r>
      <w:r>
        <w:rPr>
          <w:rStyle w:val="34"/>
          <w:color w:val="000000"/>
        </w:rPr>
        <w:t>“四轴”</w:t>
      </w:r>
      <w:r>
        <w:rPr>
          <w:rStyle w:val="34"/>
          <w:rFonts w:hint="eastAsia"/>
          <w:color w:val="000000"/>
        </w:rPr>
        <w:t>（</w:t>
      </w:r>
      <w:r>
        <w:rPr>
          <w:rStyle w:val="34"/>
          <w:color w:val="000000"/>
        </w:rPr>
        <w:t>京昆-蜀道产业发展轴</w:t>
      </w:r>
      <w:r>
        <w:rPr>
          <w:rStyle w:val="34"/>
          <w:rFonts w:hint="eastAsia"/>
          <w:color w:val="000000"/>
        </w:rPr>
        <w:t>、</w:t>
      </w:r>
      <w:r>
        <w:rPr>
          <w:rStyle w:val="34"/>
          <w:color w:val="000000"/>
        </w:rPr>
        <w:t>兰渝通道产业发展轴</w:t>
      </w:r>
      <w:r>
        <w:rPr>
          <w:rStyle w:val="34"/>
          <w:rFonts w:hint="eastAsia"/>
          <w:color w:val="000000"/>
        </w:rPr>
        <w:t>、</w:t>
      </w:r>
      <w:r>
        <w:rPr>
          <w:rStyle w:val="34"/>
          <w:color w:val="000000"/>
        </w:rPr>
        <w:t>广巴达万通道产业发展轴</w:t>
      </w:r>
      <w:r>
        <w:rPr>
          <w:rStyle w:val="34"/>
          <w:rFonts w:hint="eastAsia"/>
          <w:color w:val="000000"/>
        </w:rPr>
        <w:t>、</w:t>
      </w:r>
      <w:r>
        <w:rPr>
          <w:rStyle w:val="34"/>
          <w:color w:val="000000"/>
        </w:rPr>
        <w:t>绵万通道产业发展轴</w:t>
      </w:r>
      <w:r>
        <w:rPr>
          <w:rStyle w:val="34"/>
          <w:rFonts w:hint="eastAsia"/>
          <w:color w:val="000000"/>
        </w:rPr>
        <w:t>）来</w:t>
      </w:r>
      <w:r>
        <w:rPr>
          <w:rStyle w:val="34"/>
          <w:color w:val="000000"/>
        </w:rPr>
        <w:t>支撑网络化发展</w:t>
      </w:r>
      <w:r>
        <w:rPr>
          <w:rStyle w:val="34"/>
          <w:rFonts w:hint="eastAsia"/>
          <w:color w:val="000000"/>
        </w:rPr>
        <w:t>。依托四大产业轴</w:t>
      </w:r>
      <w:r>
        <w:rPr>
          <w:rStyle w:val="34"/>
          <w:color w:val="000000"/>
        </w:rPr>
        <w:t>，加强对外开放，对接区域经济</w:t>
      </w:r>
      <w:r>
        <w:rPr>
          <w:rStyle w:val="34"/>
          <w:rFonts w:hint="eastAsia"/>
          <w:color w:val="000000"/>
        </w:rPr>
        <w:t>格局，沿线发展特色产业构建市域国土空间总体格局。并以此作为城乡融合发展的重要切入点，加快打通城乡要素流动通道，统筹县域基础设施、公共服务、生态保护、城镇建设等空间布局，强化县城综合服务能力，继续推进大县城战略，注重县城补短板强弱项，实施县城综合服务能力提升工程。加快推动区域统筹布局、县乡村功能衔接互补的公共服务体系，提升城乡公共服务均等化水平，稳步提升全域城乡人居环境品质。</w:t>
      </w:r>
    </w:p>
    <w:p>
      <w:pPr>
        <w:adjustRightInd w:val="0"/>
        <w:snapToGrid w:val="0"/>
        <w:ind w:firstLine="560"/>
        <w:rPr>
          <w:color w:val="000000"/>
        </w:rPr>
      </w:pPr>
      <w:r>
        <w:rPr>
          <w:rFonts w:ascii="仿宋_GB2312" w:hAnsi="仿宋_GB2312" w:eastAsia="仿宋_GB2312" w:cs="黑体"/>
          <w:color w:val="000000"/>
          <w:kern w:val="2"/>
          <w:sz w:val="32"/>
          <w:szCs w:val="22"/>
          <w:lang w:val="en-US" w:eastAsia="zh-CN" w:bidi="ar-SA"/>
        </w:rPr>
        <w:pict>
          <v:shape id="图片 10" o:spid="_x0000_s1035" type="#_x0000_t75" style="height:276.8pt;width:365.6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adjustRightInd w:val="0"/>
        <w:snapToGrid w:val="0"/>
        <w:ind w:firstLine="480"/>
        <w:jc w:val="center"/>
        <w:rPr>
          <w:color w:val="000000"/>
          <w:sz w:val="24"/>
          <w:szCs w:val="24"/>
        </w:rPr>
      </w:pPr>
      <w:r>
        <w:rPr>
          <w:rFonts w:hint="eastAsia"/>
          <w:color w:val="000000"/>
          <w:sz w:val="24"/>
          <w:szCs w:val="24"/>
        </w:rPr>
        <w:t>市域国土空间格局</w:t>
      </w:r>
    </w:p>
    <w:p>
      <w:pPr>
        <w:pStyle w:val="6"/>
        <w:ind w:firstLine="141"/>
        <w:rPr>
          <w:color w:val="000000"/>
        </w:rPr>
      </w:pPr>
      <w:bookmarkStart w:id="306" w:name="_Toc118566582"/>
      <w:bookmarkStart w:id="307" w:name="_Toc118566716"/>
      <w:bookmarkStart w:id="308" w:name="_Toc118566316"/>
      <w:bookmarkStart w:id="309" w:name="_Toc118566449"/>
      <w:r>
        <w:rPr>
          <w:rFonts w:hint="eastAsia"/>
          <w:color w:val="000000"/>
        </w:rPr>
        <w:t>（三）</w:t>
      </w:r>
      <w:r>
        <w:rPr>
          <w:color w:val="000000"/>
        </w:rPr>
        <w:t>加快推动基础设施互联互通</w:t>
      </w:r>
      <w:bookmarkEnd w:id="306"/>
      <w:bookmarkEnd w:id="307"/>
      <w:bookmarkEnd w:id="308"/>
      <w:bookmarkEnd w:id="309"/>
    </w:p>
    <w:p>
      <w:pPr>
        <w:adjustRightInd w:val="0"/>
        <w:snapToGrid w:val="0"/>
        <w:ind w:firstLine="560"/>
        <w:rPr>
          <w:color w:val="000000"/>
        </w:rPr>
      </w:pPr>
      <w:r>
        <w:rPr>
          <w:rFonts w:hint="eastAsia"/>
          <w:color w:val="000000"/>
        </w:rPr>
        <w:t>推进基础设施县域统筹，一体设计、一体推进。加快实现城乡基础设施统一规划、统一建设、统一管护。统筹规划城乡的道路、供水、供电、信息基础设施、广播电视、防洪、垃圾污水等基础设施的建设，重点是推动城乡路网的一体规划设计，畅通城乡交通运输连接，实现县乡村</w:t>
      </w:r>
      <w:r>
        <w:rPr>
          <w:color w:val="000000"/>
        </w:rPr>
        <w:t>(户)的道路连接，城乡道路客运一体化。统筹规划城乡污染物收运处理体系，严防城市的污染上山下乡，因地制宜统筹处理城乡的垃圾污水。健全城乡基础设施一体化的建设机制，合理确定城乡基础设施统一管护运行模式。</w:t>
      </w:r>
    </w:p>
    <w:p>
      <w:pPr>
        <w:adjustRightInd w:val="0"/>
        <w:snapToGrid w:val="0"/>
        <w:ind w:firstLine="560"/>
        <w:rPr>
          <w:color w:val="000000"/>
        </w:rPr>
      </w:pPr>
      <w:r>
        <w:rPr>
          <w:rFonts w:ascii="仿宋_GB2312" w:hAnsi="仿宋_GB2312" w:eastAsia="仿宋_GB2312" w:cs="黑体"/>
          <w:color w:val="000000"/>
          <w:kern w:val="2"/>
          <w:sz w:val="32"/>
          <w:szCs w:val="22"/>
          <w:lang w:val="en-US" w:eastAsia="zh-CN" w:bidi="ar-SA"/>
        </w:rPr>
        <w:pict>
          <v:shape id="图片 11" o:spid="_x0000_s1036" type="#_x0000_t75" style="height:321.3pt;width:415.3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adjustRightInd w:val="0"/>
        <w:snapToGrid w:val="0"/>
        <w:ind w:firstLine="480"/>
        <w:jc w:val="center"/>
        <w:rPr>
          <w:color w:val="000000"/>
          <w:sz w:val="24"/>
          <w:szCs w:val="24"/>
        </w:rPr>
      </w:pPr>
      <w:r>
        <w:rPr>
          <w:rFonts w:hint="eastAsia"/>
          <w:color w:val="000000"/>
          <w:sz w:val="24"/>
          <w:szCs w:val="24"/>
        </w:rPr>
        <w:t>广元市域重大基础设施规划图</w:t>
      </w:r>
    </w:p>
    <w:p>
      <w:pPr>
        <w:pStyle w:val="6"/>
        <w:ind w:firstLine="141"/>
        <w:rPr>
          <w:color w:val="000000"/>
        </w:rPr>
      </w:pPr>
      <w:bookmarkStart w:id="310" w:name="_Toc118566450"/>
      <w:bookmarkStart w:id="311" w:name="_Toc118566583"/>
      <w:bookmarkStart w:id="312" w:name="_Toc118566717"/>
      <w:bookmarkStart w:id="313" w:name="_Toc118566317"/>
      <w:r>
        <w:rPr>
          <w:rFonts w:hint="eastAsia"/>
          <w:color w:val="000000"/>
        </w:rPr>
        <w:t>（四）</w:t>
      </w:r>
      <w:r>
        <w:rPr>
          <w:color w:val="000000"/>
        </w:rPr>
        <w:t>推进县城设施服务向农村延伸</w:t>
      </w:r>
      <w:bookmarkEnd w:id="310"/>
      <w:bookmarkEnd w:id="311"/>
      <w:bookmarkEnd w:id="312"/>
      <w:bookmarkEnd w:id="313"/>
    </w:p>
    <w:p>
      <w:pPr>
        <w:adjustRightInd w:val="0"/>
        <w:snapToGrid w:val="0"/>
        <w:ind w:firstLine="560"/>
        <w:rPr>
          <w:color w:val="000000"/>
        </w:rPr>
      </w:pPr>
      <w:r>
        <w:rPr>
          <w:rFonts w:hint="eastAsia"/>
          <w:color w:val="000000"/>
        </w:rPr>
        <w:t>稳步提高基本公共服务均等化水平，逐步实现城乡基本公共服务的标准统一、制度并轨。合理布局县城、中心镇、行政村基础设施和公共服务设施，推进区域性市政基础设施、公共服务设施建设。因地制宜推动城市和县城供水、污水、燃气管网向周边村镇延伸覆盖。开展城乡交通运输一体化示范创建工程，提升城乡交通公共服务均等化水平。统筹布局公共服务设施，坚持普惠性、保基本、均等化、可持续方向，扩大公共服务供给，全面加强基本公共服务体系建设，全面提升公共服务的能级、均等化与覆盖率，完善覆盖城乡的基本公共服务体系，丰富非基本公共服务供给，推进实施城乡农贸市场一体化改造、城乡公共文化设施一体化布局等城乡联动建设项目，加快发展城乡教育联合体和县域医共体建设，基本实现城乡社区各级生活圈的全覆盖。</w:t>
      </w:r>
    </w:p>
    <w:p>
      <w:pPr>
        <w:pStyle w:val="5"/>
        <w:numPr>
          <w:numId w:val="0"/>
        </w:numPr>
        <w:spacing w:before="190"/>
        <w:rPr>
          <w:rFonts w:ascii="宋体" w:hAnsi="宋体"/>
          <w:color w:val="000000"/>
        </w:rPr>
      </w:pPr>
      <w:bookmarkStart w:id="314" w:name="_Toc118566318"/>
      <w:bookmarkStart w:id="315" w:name="_Toc118566451"/>
      <w:bookmarkStart w:id="316" w:name="_Toc119916750"/>
      <w:bookmarkStart w:id="317" w:name="_Toc118566584"/>
      <w:bookmarkStart w:id="318" w:name="_Toc118566718"/>
      <w:r>
        <w:rPr>
          <w:rFonts w:hint="eastAsia" w:ascii="宋体" w:hAnsi="宋体"/>
          <w:color w:val="000000"/>
        </w:rPr>
        <w:t>二、提高小城镇建设质量</w:t>
      </w:r>
      <w:bookmarkEnd w:id="314"/>
      <w:bookmarkEnd w:id="315"/>
      <w:bookmarkEnd w:id="316"/>
      <w:bookmarkEnd w:id="317"/>
      <w:bookmarkEnd w:id="318"/>
    </w:p>
    <w:p>
      <w:pPr>
        <w:pStyle w:val="6"/>
        <w:ind w:firstLine="141"/>
        <w:rPr>
          <w:color w:val="000000"/>
        </w:rPr>
      </w:pPr>
      <w:bookmarkStart w:id="319" w:name="_Toc118566719"/>
      <w:bookmarkStart w:id="320" w:name="_Toc118566585"/>
      <w:bookmarkStart w:id="321" w:name="_Toc118566319"/>
      <w:bookmarkStart w:id="322" w:name="_Toc118566452"/>
      <w:r>
        <w:rPr>
          <w:rFonts w:hint="eastAsia"/>
          <w:color w:val="000000"/>
        </w:rPr>
        <w:t>（一）着力省级百强中心镇建设</w:t>
      </w:r>
      <w:bookmarkEnd w:id="319"/>
      <w:bookmarkEnd w:id="320"/>
      <w:bookmarkEnd w:id="321"/>
      <w:bookmarkEnd w:id="322"/>
    </w:p>
    <w:p>
      <w:pPr>
        <w:adjustRightInd w:val="0"/>
        <w:snapToGrid w:val="0"/>
        <w:ind w:firstLine="560"/>
        <w:rPr>
          <w:rFonts w:ascii="宋体" w:hAnsi="宋体"/>
          <w:color w:val="000000"/>
        </w:rPr>
      </w:pPr>
      <w:r>
        <w:rPr>
          <w:rFonts w:hint="eastAsia" w:ascii="宋体" w:hAnsi="宋体"/>
          <w:color w:val="000000"/>
        </w:rPr>
        <w:t>推动中心镇改革与发展，形成市、县域城镇发展新格局。贯彻省委办公厅省政府办公厅《关于推进中心镇改革发展的指导意见》精神，在“百镇建设行动”阶段性成效的基础上，推动省级百强中心镇培育工作，培育一批“经济发达、配套齐全、环境优美、文化厚重、治理完善、辐射广泛”的中心镇，推动有条件的省级百强中心镇发展成为县域副中心和现代新型小城市。实施产业聚集提升工程，统筹省级部门产业、资金、项目在中心镇落地，促进县域经济高质量发展，形成小城镇发展新格局。推动苍溪龙山、旺苍木门、剑阁元山、青川姚渡等市域交界城镇加快发展，增强对周边地区的聚合、辐射功能。因地制宜、分类引导一般镇发展，推动小城镇规范健康发展，支持有条件的地方积极争创四川省特色小镇。</w:t>
      </w:r>
    </w:p>
    <w:p>
      <w:pPr>
        <w:pStyle w:val="6"/>
        <w:ind w:firstLine="141"/>
        <w:rPr>
          <w:color w:val="000000"/>
        </w:rPr>
      </w:pPr>
      <w:bookmarkStart w:id="323" w:name="_Toc118566720"/>
      <w:bookmarkStart w:id="324" w:name="_Toc118566586"/>
      <w:bookmarkStart w:id="325" w:name="_Toc118566320"/>
      <w:bookmarkStart w:id="326" w:name="_Toc118566453"/>
      <w:r>
        <w:rPr>
          <w:rFonts w:hint="eastAsia"/>
          <w:color w:val="000000"/>
        </w:rPr>
        <w:t>（二）提升小城镇综合服务功能</w:t>
      </w:r>
      <w:bookmarkEnd w:id="323"/>
      <w:bookmarkEnd w:id="324"/>
      <w:bookmarkEnd w:id="325"/>
      <w:bookmarkEnd w:id="326"/>
    </w:p>
    <w:p>
      <w:pPr>
        <w:adjustRightInd w:val="0"/>
        <w:snapToGrid w:val="0"/>
        <w:ind w:firstLine="560"/>
        <w:rPr>
          <w:rFonts w:ascii="宋体" w:hAnsi="宋体"/>
          <w:color w:val="000000"/>
        </w:rPr>
      </w:pPr>
      <w:r>
        <w:rPr>
          <w:rFonts w:hint="eastAsia" w:ascii="宋体" w:hAnsi="宋体"/>
          <w:color w:val="000000"/>
        </w:rPr>
        <w:t>加大对小城镇公共服务设施建设的投入力度，积极争取资金，建设图书馆、电影院、体育场馆等公共文体设施，打造一批集农贸市场、零售、家政、便利超市等一体的便民服务中心，构建小城镇舒适便捷、全域覆盖的生活圈服务体系。增强产业发展、公共服务、吸纳就业、人口集聚等功能，把重点镇建设成为新型城镇化的重要节点和农村区域性经济文化中心。</w:t>
      </w:r>
    </w:p>
    <w:p>
      <w:pPr>
        <w:pStyle w:val="6"/>
        <w:ind w:firstLine="141"/>
        <w:rPr>
          <w:color w:val="000000"/>
        </w:rPr>
      </w:pPr>
      <w:bookmarkStart w:id="327" w:name="_Toc118566721"/>
      <w:bookmarkStart w:id="328" w:name="_Toc118566587"/>
      <w:bookmarkStart w:id="329" w:name="_Toc118566321"/>
      <w:bookmarkStart w:id="330" w:name="_Toc118566454"/>
      <w:r>
        <w:rPr>
          <w:rFonts w:hint="eastAsia"/>
          <w:color w:val="000000"/>
        </w:rPr>
        <w:t>（三）加快补齐小城镇基础设施短板</w:t>
      </w:r>
      <w:bookmarkEnd w:id="327"/>
      <w:bookmarkEnd w:id="328"/>
      <w:bookmarkEnd w:id="329"/>
      <w:bookmarkEnd w:id="330"/>
    </w:p>
    <w:p>
      <w:pPr>
        <w:adjustRightInd w:val="0"/>
        <w:snapToGrid w:val="0"/>
        <w:ind w:firstLine="560"/>
        <w:rPr>
          <w:rFonts w:ascii="宋体" w:hAnsi="宋体"/>
          <w:color w:val="000000"/>
        </w:rPr>
      </w:pPr>
      <w:r>
        <w:rPr>
          <w:rFonts w:hint="eastAsia" w:ascii="宋体" w:hAnsi="宋体"/>
          <w:color w:val="000000"/>
        </w:rPr>
        <w:t>实施基础设施提升工程，加快市政设施专项规划编制和实施，加强对城镇环卫、给排水、电力、通信、燃气等市政基础设施的建设力度，着力完善城镇功能，提升小城镇生活品质。</w:t>
      </w:r>
    </w:p>
    <w:p>
      <w:pPr>
        <w:adjustRightInd w:val="0"/>
        <w:snapToGrid w:val="0"/>
        <w:ind w:firstLine="560"/>
        <w:rPr>
          <w:rFonts w:ascii="宋体" w:hAnsi="宋体"/>
          <w:color w:val="000000"/>
        </w:rPr>
      </w:pPr>
      <w:r>
        <w:rPr>
          <w:rFonts w:hint="eastAsia" w:ascii="宋体" w:hAnsi="宋体"/>
          <w:color w:val="000000"/>
        </w:rPr>
        <w:t>加快污水处理设施建设，补齐城镇污水短板。科学确定基础设施建设规模，加快推动城乡基础设施一体化，加强污水处理设施及配套管网建设；建立健全污水处理设施后期运营维护管理机制，避免出现“重建设、轻管理”、“建得起而用不起”的问题；合理选择处理工艺，因地制宜确定排放标准，不搞污水排放标准“一刀切”。因地制宜实施雨污分流改造，着力完善城镇功能。开展城镇整体风貌设计，大力开展违搭乱建整治行动，改善中心镇住房条件；保护绿水青山生态格局，合理布局公共绿地，提升生态品质。</w:t>
      </w:r>
    </w:p>
    <w:tbl>
      <w:tblPr>
        <w:tblStyle w:val="18"/>
        <w:tblW w:w="8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adjustRightInd w:val="0"/>
              <w:snapToGrid w:val="0"/>
              <w:ind w:firstLine="0" w:firstLineChars="0"/>
              <w:jc w:val="center"/>
              <w:rPr>
                <w:rFonts w:ascii="宋体" w:hAnsi="宋体"/>
                <w:b/>
                <w:color w:val="000000"/>
                <w:sz w:val="24"/>
              </w:rPr>
            </w:pPr>
            <w:r>
              <w:rPr>
                <w:rFonts w:hint="eastAsia" w:ascii="宋体" w:hAnsi="宋体"/>
                <w:b/>
                <w:color w:val="000000"/>
                <w:sz w:val="24"/>
              </w:rPr>
              <w:t>专栏</w:t>
            </w:r>
            <w:r>
              <w:rPr>
                <w:rFonts w:ascii="宋体" w:hAnsi="宋体"/>
                <w:b/>
                <w:color w:val="000000"/>
                <w:sz w:val="24"/>
              </w:rPr>
              <w:t>4-1</w:t>
            </w:r>
            <w:r>
              <w:rPr>
                <w:rFonts w:hint="eastAsia" w:ascii="宋体" w:hAnsi="宋体"/>
                <w:b/>
                <w:color w:val="000000"/>
                <w:sz w:val="24"/>
              </w:rPr>
              <w:t>小城镇人居环境</w:t>
            </w:r>
            <w:r>
              <w:rPr>
                <w:rFonts w:ascii="宋体" w:hAnsi="宋体"/>
                <w:b/>
                <w:color w:val="000000"/>
                <w:sz w:val="24"/>
              </w:rPr>
              <w:t>建设专项行动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adjustRightInd w:val="0"/>
              <w:snapToGrid w:val="0"/>
              <w:ind w:firstLine="0" w:firstLineChars="0"/>
              <w:jc w:val="left"/>
              <w:rPr>
                <w:rFonts w:ascii="宋体" w:hAnsi="宋体"/>
                <w:b/>
                <w:color w:val="000000"/>
                <w:sz w:val="22"/>
              </w:rPr>
            </w:pPr>
            <w:r>
              <w:rPr>
                <w:rFonts w:ascii="宋体" w:hAnsi="宋体"/>
                <w:b/>
                <w:color w:val="000000"/>
                <w:sz w:val="22"/>
              </w:rPr>
              <w:t>1.重点镇培育工程</w:t>
            </w:r>
            <w:r>
              <w:rPr>
                <w:rFonts w:hint="eastAsia" w:ascii="宋体" w:hAnsi="宋体"/>
                <w:b/>
                <w:color w:val="000000"/>
                <w:sz w:val="22"/>
              </w:rPr>
              <w:t>。</w:t>
            </w:r>
            <w:r>
              <w:rPr>
                <w:rFonts w:hint="eastAsia" w:ascii="宋体" w:hAnsi="宋体"/>
                <w:color w:val="000000"/>
                <w:sz w:val="22"/>
              </w:rPr>
              <w:t>重点发展区位优势明显、规模基础较好、经济实力较强、发展潜力大、具有较强辐射能力和集聚能力的重点镇，到</w:t>
            </w:r>
            <w:r>
              <w:rPr>
                <w:rFonts w:ascii="宋体" w:hAnsi="宋体"/>
                <w:color w:val="000000"/>
                <w:sz w:val="22"/>
              </w:rPr>
              <w:t>2025年培育一批经济社会全面发展、</w:t>
            </w:r>
            <w:r>
              <w:rPr>
                <w:rFonts w:hint="eastAsia" w:ascii="宋体" w:hAnsi="宋体"/>
                <w:color w:val="000000"/>
                <w:sz w:val="22"/>
              </w:rPr>
              <w:t>设施服务完善、风貌特色鲜明、社会治理有效的产业经济型、公共服务型重点镇。</w:t>
            </w:r>
          </w:p>
          <w:p>
            <w:pPr>
              <w:adjustRightInd w:val="0"/>
              <w:snapToGrid w:val="0"/>
              <w:ind w:firstLine="0" w:firstLineChars="0"/>
              <w:jc w:val="left"/>
              <w:rPr>
                <w:rFonts w:ascii="宋体" w:hAnsi="宋体"/>
                <w:b/>
                <w:color w:val="000000"/>
                <w:sz w:val="22"/>
              </w:rPr>
            </w:pPr>
            <w:r>
              <w:rPr>
                <w:rFonts w:ascii="宋体" w:hAnsi="宋体"/>
                <w:b/>
                <w:color w:val="000000"/>
                <w:sz w:val="22"/>
              </w:rPr>
              <w:t>2.基础设施补短板专项工程</w:t>
            </w:r>
            <w:r>
              <w:rPr>
                <w:rFonts w:hint="eastAsia" w:ascii="宋体" w:hAnsi="宋体"/>
                <w:b/>
                <w:color w:val="000000"/>
                <w:sz w:val="22"/>
              </w:rPr>
              <w:t>。</w:t>
            </w:r>
            <w:r>
              <w:rPr>
                <w:rFonts w:hint="eastAsia" w:ascii="宋体" w:hAnsi="宋体"/>
                <w:color w:val="000000"/>
                <w:sz w:val="22"/>
              </w:rPr>
              <w:t>加快推进城镇道路、供水、供电、停车场等基础设施建设，推动燃气入镇，推进电力、通信市政基础设施的智能化升级建设和改造，完善物流配送设施，提高城镇基础设施档次和运营管理水平，重点镇基本达到所在县城水平。</w:t>
            </w:r>
          </w:p>
          <w:p>
            <w:pPr>
              <w:adjustRightInd w:val="0"/>
              <w:snapToGrid w:val="0"/>
              <w:ind w:firstLine="0" w:firstLineChars="0"/>
              <w:jc w:val="left"/>
              <w:rPr>
                <w:rFonts w:ascii="宋体" w:hAnsi="宋体"/>
                <w:b/>
                <w:color w:val="000000"/>
                <w:sz w:val="22"/>
              </w:rPr>
            </w:pPr>
            <w:r>
              <w:rPr>
                <w:rFonts w:ascii="宋体" w:hAnsi="宋体"/>
                <w:b/>
                <w:color w:val="000000"/>
                <w:sz w:val="22"/>
              </w:rPr>
              <w:t>3.公共服务提升专项工程</w:t>
            </w:r>
            <w:r>
              <w:rPr>
                <w:rFonts w:hint="eastAsia" w:ascii="宋体" w:hAnsi="宋体"/>
                <w:b/>
                <w:color w:val="000000"/>
                <w:sz w:val="22"/>
              </w:rPr>
              <w:t>。</w:t>
            </w:r>
            <w:r>
              <w:rPr>
                <w:rFonts w:hint="eastAsia" w:ascii="宋体" w:hAnsi="宋体"/>
                <w:color w:val="000000"/>
                <w:sz w:val="22"/>
              </w:rPr>
              <w:t>优化城镇公共资源配置，持续完善生产、生活服务设施的建设，</w:t>
            </w:r>
            <w:r>
              <w:rPr>
                <w:rFonts w:ascii="宋体" w:hAnsi="宋体"/>
                <w:color w:val="000000"/>
                <w:sz w:val="22"/>
              </w:rPr>
              <w:t>提升医疗</w:t>
            </w:r>
            <w:r>
              <w:rPr>
                <w:rFonts w:hint="eastAsia" w:ascii="宋体" w:hAnsi="宋体"/>
                <w:color w:val="000000"/>
                <w:sz w:val="22"/>
              </w:rPr>
              <w:t>卫生服务能力，促进教育文体均衡发展，加大养老扶幼支持力度。</w:t>
            </w:r>
          </w:p>
          <w:p>
            <w:pPr>
              <w:adjustRightInd w:val="0"/>
              <w:snapToGrid w:val="0"/>
              <w:ind w:firstLine="0" w:firstLineChars="0"/>
              <w:jc w:val="left"/>
              <w:rPr>
                <w:rFonts w:ascii="宋体" w:hAnsi="宋体"/>
                <w:b/>
                <w:color w:val="000000"/>
                <w:sz w:val="21"/>
                <w:szCs w:val="21"/>
              </w:rPr>
            </w:pPr>
            <w:r>
              <w:rPr>
                <w:rFonts w:ascii="宋体" w:hAnsi="宋体"/>
                <w:b/>
                <w:color w:val="000000"/>
                <w:sz w:val="22"/>
              </w:rPr>
              <w:t>4.环境综合整治专项工程</w:t>
            </w:r>
            <w:r>
              <w:rPr>
                <w:rFonts w:hint="eastAsia" w:ascii="宋体" w:hAnsi="宋体"/>
                <w:b/>
                <w:color w:val="000000"/>
                <w:sz w:val="22"/>
              </w:rPr>
              <w:t>。</w:t>
            </w:r>
            <w:r>
              <w:rPr>
                <w:rFonts w:hint="eastAsia" w:ascii="宋体" w:hAnsi="宋体"/>
                <w:color w:val="000000"/>
                <w:sz w:val="22"/>
              </w:rPr>
              <w:t>抓紧建设和完善城镇生活污水、生活垃圾处理设施，合理布局和建设公共厕所，建立城镇风貌引导机制，推动美化、绿化、亮化工作。有序开展城镇有机更新行动。</w:t>
            </w:r>
          </w:p>
        </w:tc>
      </w:tr>
    </w:tbl>
    <w:p>
      <w:pPr>
        <w:pStyle w:val="5"/>
        <w:numPr>
          <w:numId w:val="0"/>
        </w:numPr>
        <w:spacing w:before="190"/>
        <w:rPr>
          <w:rFonts w:ascii="宋体" w:hAnsi="宋体"/>
          <w:color w:val="000000"/>
        </w:rPr>
      </w:pPr>
      <w:bookmarkStart w:id="331" w:name="_Toc119916751"/>
      <w:bookmarkStart w:id="332" w:name="_Toc118566455"/>
      <w:bookmarkStart w:id="333" w:name="_Toc118566588"/>
      <w:bookmarkStart w:id="334" w:name="_Toc118566322"/>
      <w:bookmarkStart w:id="335" w:name="_Toc118566722"/>
      <w:r>
        <w:rPr>
          <w:rFonts w:hint="eastAsia" w:ascii="宋体" w:hAnsi="宋体"/>
          <w:color w:val="000000"/>
        </w:rPr>
        <w:t>三、实施乡村建设行动</w:t>
      </w:r>
      <w:bookmarkEnd w:id="331"/>
      <w:bookmarkEnd w:id="332"/>
      <w:bookmarkEnd w:id="333"/>
      <w:bookmarkEnd w:id="334"/>
      <w:bookmarkEnd w:id="335"/>
    </w:p>
    <w:p>
      <w:pPr>
        <w:pStyle w:val="6"/>
        <w:ind w:firstLine="141"/>
        <w:rPr>
          <w:color w:val="000000"/>
        </w:rPr>
      </w:pPr>
      <w:bookmarkStart w:id="336" w:name="_Toc118566456"/>
      <w:bookmarkStart w:id="337" w:name="_Toc118566323"/>
      <w:bookmarkStart w:id="338" w:name="_Toc118566723"/>
      <w:bookmarkStart w:id="339" w:name="_Toc118566589"/>
      <w:r>
        <w:rPr>
          <w:rFonts w:hint="eastAsia"/>
          <w:color w:val="000000"/>
        </w:rPr>
        <w:t>（一）优化乡村人居环境格局</w:t>
      </w:r>
      <w:bookmarkEnd w:id="336"/>
      <w:bookmarkEnd w:id="337"/>
      <w:bookmarkEnd w:id="338"/>
      <w:bookmarkEnd w:id="339"/>
    </w:p>
    <w:p>
      <w:pPr>
        <w:adjustRightInd w:val="0"/>
        <w:snapToGrid w:val="0"/>
        <w:ind w:firstLine="560"/>
        <w:rPr>
          <w:rFonts w:ascii="宋体" w:hAnsi="宋体"/>
          <w:color w:val="000000"/>
        </w:rPr>
      </w:pPr>
      <w:r>
        <w:rPr>
          <w:rFonts w:ascii="宋体" w:hAnsi="宋体"/>
          <w:color w:val="000000"/>
        </w:rPr>
        <w:t>落实国土空间用途管制。深入推进市县级国土空间总体规划编制，根据国土空间“资源环境承载力评价”和“国土空间开发适宜性评价”等基础研究成果，落实主体功能定位和空间治理要求，合理规划全市国土空间的功能分区，科学划定生态、生活和生产空间，确定永久基本农田、生态保护红线和城镇开发边界范围。通过“三区三线”划定，构建我市市域北部和嘉陵江沿线自然生态保护利用为主、市域南部农业生态保护建设为主、中部河谷城镇生态建设发展为主的生态空间格局。全面开展乡村国土空间规划编制工作，按照省委省政府确定的行政区与经济区适度分离的总体</w:t>
      </w:r>
      <w:r>
        <w:rPr>
          <w:rFonts w:hint="eastAsia" w:ascii="宋体" w:hAnsi="宋体"/>
          <w:color w:val="000000"/>
        </w:rPr>
        <w:t>原则和目标任务，坚持“市级统筹、县为主体、乡镇配合”的工作要求，推进国土全域综合整治。</w:t>
      </w:r>
      <w:r>
        <w:rPr>
          <w:rFonts w:ascii="宋体" w:hAnsi="宋体"/>
          <w:color w:val="000000"/>
        </w:rPr>
        <w:t>2023年6月，全面完成乡镇级片区国土空间总体规划编制。2024年底，实现村级片区规划应编尽编，不断建立和完善市域国土空间规划体系，将市县级国土空间总体规划中生态保护、治理和利用相关安排布局分解落实到乡村规划中，统筹山水林田湖草系统治理，加强自然生态保护利用。</w:t>
      </w:r>
    </w:p>
    <w:p>
      <w:pPr>
        <w:adjustRightInd w:val="0"/>
        <w:snapToGrid w:val="0"/>
        <w:ind w:firstLine="560"/>
        <w:rPr>
          <w:rFonts w:ascii="宋体" w:hAnsi="宋体"/>
          <w:color w:val="000000"/>
        </w:rPr>
      </w:pPr>
      <w:r>
        <w:rPr>
          <w:rFonts w:ascii="宋体" w:hAnsi="宋体"/>
          <w:color w:val="000000"/>
        </w:rPr>
        <w:t>实施生态保护修复工程。保护乡村自然景观，构建生态廊道和生态缓冲带。改善农田周边生态环境，提高农田生态系统生物多样性。以嘉陵江流域和秦巴山区为基本地理单元，针对性开展山水林田湖一体化保护和修复。推进东河、西河等小流域综合整治，确保各河流考核断面水质优良率100%。到2025年，完成现有历史遗留矿山生态修复工作，后期针对新的政策性关闭、无修复责任主体矿山按政策规定适时开展生态修复。</w:t>
      </w:r>
    </w:p>
    <w:p>
      <w:pPr>
        <w:adjustRightInd w:val="0"/>
        <w:snapToGrid w:val="0"/>
        <w:ind w:firstLine="560"/>
        <w:rPr>
          <w:rFonts w:ascii="宋体" w:hAnsi="宋体"/>
          <w:color w:val="000000"/>
        </w:rPr>
      </w:pPr>
      <w:r>
        <w:rPr>
          <w:rFonts w:hint="eastAsia" w:ascii="宋体" w:hAnsi="宋体"/>
        </w:rPr>
        <w:t>筑牢广元生态安全屏障。严格落实防止耕地“非农化”要求，科学开展国土绿化，实施营造林50万亩以上。加大天然林保护修复力度，对80.11万亩国有林和</w:t>
      </w:r>
      <w:r>
        <w:rPr>
          <w:rFonts w:hint="eastAsia" w:ascii="宋体" w:hAnsi="宋体" w:cs="宋体"/>
          <w:szCs w:val="28"/>
        </w:rPr>
        <w:t>622.94万亩集体</w:t>
      </w:r>
      <w:r>
        <w:rPr>
          <w:rFonts w:hint="eastAsia" w:ascii="宋体" w:hAnsi="宋体"/>
        </w:rPr>
        <w:t>公益林进行有效管</w:t>
      </w:r>
      <w:r>
        <w:rPr>
          <w:rFonts w:hint="eastAsia" w:ascii="宋体" w:hAnsi="宋体"/>
          <w:color w:val="000000"/>
        </w:rPr>
        <w:t>护，巩固退耕还林还草成果105.51万亩。通过农村“四旁”（水旁、路旁、村旁、宅旁）植树推进村落绿化，支持适宜地区开展森林乡村建设。加强以蜀道古柏为主的古树名木保护，开展古树名木主题公园建设试点，实施古树名木濒危株及衰弱株抢救复壮。坚持以林长制为抓手，切实夯实森林防灭火基础，不断提升乡村防灾减灾能力。</w:t>
      </w:r>
    </w:p>
    <w:p>
      <w:pPr>
        <w:pStyle w:val="6"/>
        <w:ind w:firstLine="141"/>
        <w:rPr>
          <w:rFonts w:ascii="宋体" w:hAnsi="宋体"/>
          <w:color w:val="000000"/>
        </w:rPr>
      </w:pPr>
      <w:bookmarkStart w:id="340" w:name="_Toc118566457"/>
      <w:bookmarkStart w:id="341" w:name="_Toc118566590"/>
      <w:bookmarkStart w:id="342" w:name="_Toc118566324"/>
      <w:bookmarkStart w:id="343" w:name="_Toc118566724"/>
      <w:r>
        <w:rPr>
          <w:rFonts w:hint="eastAsia" w:ascii="宋体" w:hAnsi="宋体"/>
          <w:color w:val="000000"/>
        </w:rPr>
        <w:t>（二）提高农村房屋建设和管理水平</w:t>
      </w:r>
      <w:bookmarkEnd w:id="340"/>
      <w:bookmarkEnd w:id="341"/>
      <w:bookmarkEnd w:id="342"/>
      <w:bookmarkEnd w:id="343"/>
    </w:p>
    <w:p>
      <w:pPr>
        <w:adjustRightInd w:val="0"/>
        <w:snapToGrid w:val="0"/>
        <w:ind w:firstLine="562"/>
        <w:rPr>
          <w:rFonts w:ascii="宋体" w:hAnsi="宋体"/>
          <w:color w:val="000000"/>
        </w:rPr>
      </w:pPr>
      <w:r>
        <w:rPr>
          <w:rFonts w:hint="eastAsia" w:ascii="宋体" w:hAnsi="宋体"/>
          <w:b/>
          <w:color w:val="000000"/>
        </w:rPr>
        <w:t>开展农村房屋安全隐患排查和整治，</w:t>
      </w:r>
      <w:r>
        <w:rPr>
          <w:rFonts w:ascii="宋体" w:hAnsi="宋体"/>
          <w:b/>
          <w:color w:val="000000"/>
        </w:rPr>
        <w:t>及时消除住房安全隐患。</w:t>
      </w:r>
      <w:r>
        <w:rPr>
          <w:rFonts w:ascii="宋体" w:hAnsi="宋体"/>
          <w:color w:val="000000"/>
        </w:rPr>
        <w:t>探</w:t>
      </w:r>
      <w:r>
        <w:rPr>
          <w:rFonts w:hint="eastAsia" w:ascii="宋体" w:hAnsi="宋体"/>
          <w:color w:val="000000"/>
        </w:rPr>
        <w:t>索建立农村低收入群体住房保障长效机制，进一步完善农村危房改造方式、建设要求和资金补助方式，根据国家部署，完善支持农村危房改造的政策。分步实施农村房屋抗震改造工程，确保农村住房达到基本的抗震设防要求。健全法律法规，建立常态化农村房屋建设管理体系。推进现代宜居型农房建设工程，建设功能现代、风貌乡土、成本经济、结构安全、绿色环保的宜居型农房。实施农村房屋节能改造，鼓励和发展各类适宜绿色技术在农房建设中的应用。保障重点区域农房管控实施率。推动集建筑、结构、设备、建材、部品部件生产等基地建设。完善农村现代宜居农房建设技术体系和技术要求。加快培育一批专业化设计、施工、运行维护企业，培养一批专业的农村建筑工匠、技术人员等施工队伍，加强切坡建房技术指导。研究制定扶持农民建设新型农房补贴政策和激励制度。持续深入开展设计下乡活动，推广使用农房设计图集，组织有条件的地区开展“乡村建筑师”培训，总结装配式农房建设试点经验，提升全市农房建设品质。</w:t>
      </w:r>
    </w:p>
    <w:p>
      <w:pPr>
        <w:adjustRightInd w:val="0"/>
        <w:snapToGrid w:val="0"/>
        <w:ind w:firstLine="562"/>
        <w:rPr>
          <w:rFonts w:ascii="宋体" w:hAnsi="宋体"/>
          <w:color w:val="000000"/>
        </w:rPr>
      </w:pPr>
      <w:r>
        <w:rPr>
          <w:rFonts w:ascii="宋体" w:hAnsi="宋体"/>
          <w:b/>
          <w:color w:val="000000"/>
        </w:rPr>
        <w:t>提升农房建设质量</w:t>
      </w:r>
      <w:r>
        <w:rPr>
          <w:rFonts w:hint="eastAsia" w:ascii="宋体" w:hAnsi="宋体"/>
          <w:b/>
          <w:color w:val="000000"/>
        </w:rPr>
        <w:t>，在全面完成摸底排查和评估鉴定的基础上，科学制定分类处置措施，进一步加强问题整治工作。</w:t>
      </w:r>
      <w:r>
        <w:rPr>
          <w:rFonts w:hint="eastAsia" w:ascii="宋体" w:hAnsi="宋体"/>
          <w:color w:val="000000"/>
        </w:rPr>
        <w:t>继续实施农村危房改造，适当扩大对象范围，将原</w:t>
      </w:r>
      <w:r>
        <w:rPr>
          <w:rFonts w:ascii="宋体" w:hAnsi="宋体"/>
          <w:color w:val="000000"/>
        </w:rPr>
        <w:t>4类对象转为新4类重点对象，</w:t>
      </w:r>
      <w:r>
        <w:rPr>
          <w:rFonts w:hint="eastAsia" w:ascii="宋体" w:hAnsi="宋体"/>
          <w:color w:val="000000"/>
        </w:rPr>
        <w:t>让更多困难群众享受农房建设政策红利</w:t>
      </w:r>
      <w:r>
        <w:rPr>
          <w:rFonts w:ascii="宋体" w:hAnsi="宋体"/>
          <w:color w:val="000000"/>
        </w:rPr>
        <w:t>。开发农房危房改造“一卡通”阳光审批系统，规范农村危房改造程序。统筹协调各类农房建设和土坯房改造。加强农村建筑工匠培训，着力培养一批农房建设技术领头人，发展一批“小、特、专”的施工队伍，助力乡村振兴。加快建设全</w:t>
      </w:r>
      <w:r>
        <w:rPr>
          <w:rFonts w:hint="eastAsia" w:ascii="宋体" w:hAnsi="宋体"/>
          <w:color w:val="000000"/>
        </w:rPr>
        <w:t>市</w:t>
      </w:r>
      <w:r>
        <w:rPr>
          <w:rFonts w:ascii="宋体" w:hAnsi="宋体"/>
          <w:color w:val="000000"/>
        </w:rPr>
        <w:t>农房管理服务平台，推进农房精细化管理，探索农村建筑工匠信息化管理服务新模</w:t>
      </w:r>
      <w:r>
        <w:rPr>
          <w:rFonts w:hint="eastAsia" w:ascii="宋体" w:hAnsi="宋体"/>
          <w:color w:val="000000"/>
        </w:rPr>
        <w:t>式，引导优秀农村工匠、年轻设计师、小微设计团队等服务农房建设，壮大乡村振兴队伍，提高农房设计和建造水平。分步实施农村房屋抗震改造工程，确保农村住房达到基本的抗震设防要求。</w:t>
      </w:r>
    </w:p>
    <w:p>
      <w:pPr>
        <w:adjustRightInd w:val="0"/>
        <w:snapToGrid w:val="0"/>
        <w:ind w:firstLine="562"/>
        <w:rPr>
          <w:rFonts w:ascii="宋体" w:hAnsi="宋体"/>
          <w:color w:val="000000"/>
        </w:rPr>
      </w:pPr>
      <w:r>
        <w:rPr>
          <w:rFonts w:hint="eastAsia" w:ascii="宋体" w:hAnsi="宋体"/>
          <w:b/>
          <w:color w:val="000000"/>
        </w:rPr>
        <w:t>推进现代宜居型农房建设工程，建设功能现代、风貌乡土、成本经济、结构安全、绿色环保的宜居型农房。</w:t>
      </w:r>
      <w:r>
        <w:rPr>
          <w:rFonts w:hint="eastAsia" w:ascii="宋体" w:hAnsi="宋体"/>
          <w:color w:val="000000"/>
        </w:rPr>
        <w:t>实施农村房屋节能改造，鼓励和发展各类适宜绿色技术在农房建设中的应用。保障重点区域农房管控实施率。推动集建筑、结构、设备、建材、部品部件生产等基地建设。完善农村现代宜居农房建设技术体系和技术要求。加快培育一批专业化设计、施工、运行维护企业，培养一批专业的农村建筑工匠、技术人员等施工队伍，加强切坡建房技术指导。研究制定扶持农民建设新型农房补贴政策和激励制度。持续深入开展设计下乡活动，推广使用农房设计图集，组织有条件的地区开展“乡村建筑师”培训，总结装配式农房建设试点经验，提升全市农房建设品质。</w:t>
      </w:r>
    </w:p>
    <w:tbl>
      <w:tblPr>
        <w:tblStyle w:val="18"/>
        <w:tblW w:w="8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ind w:firstLine="0" w:firstLineChars="0"/>
              <w:jc w:val="center"/>
              <w:rPr>
                <w:rFonts w:ascii="宋体" w:hAnsi="宋体"/>
                <w:b/>
                <w:color w:val="000000"/>
                <w:sz w:val="24"/>
              </w:rPr>
            </w:pPr>
            <w:r>
              <w:rPr>
                <w:rFonts w:hint="eastAsia" w:ascii="宋体" w:hAnsi="宋体"/>
                <w:b/>
                <w:color w:val="000000"/>
                <w:sz w:val="24"/>
              </w:rPr>
              <w:t>专栏</w:t>
            </w:r>
            <w:r>
              <w:rPr>
                <w:rFonts w:ascii="宋体" w:hAnsi="宋体"/>
                <w:b/>
                <w:color w:val="000000"/>
                <w:sz w:val="24"/>
              </w:rPr>
              <w:t>4-2</w:t>
            </w:r>
            <w:r>
              <w:rPr>
                <w:rFonts w:hint="eastAsia" w:ascii="宋体" w:hAnsi="宋体"/>
                <w:b/>
                <w:color w:val="000000"/>
                <w:sz w:val="24"/>
              </w:rPr>
              <w:t>农房</w:t>
            </w:r>
            <w:r>
              <w:rPr>
                <w:rFonts w:ascii="宋体" w:hAnsi="宋体"/>
                <w:b/>
                <w:color w:val="000000"/>
                <w:sz w:val="24"/>
              </w:rPr>
              <w:t>建设专项行动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adjustRightInd w:val="0"/>
              <w:snapToGrid w:val="0"/>
              <w:ind w:firstLine="0" w:firstLineChars="0"/>
              <w:jc w:val="left"/>
              <w:rPr>
                <w:rFonts w:ascii="宋体" w:hAnsi="宋体"/>
                <w:color w:val="000000"/>
                <w:sz w:val="22"/>
              </w:rPr>
            </w:pPr>
            <w:r>
              <w:rPr>
                <w:rFonts w:ascii="宋体" w:hAnsi="宋体"/>
                <w:color w:val="000000"/>
                <w:sz w:val="22"/>
              </w:rPr>
              <w:t>2025年，完成农村房屋安全隐患排查整治、农村危房改造工程，推进装配式农房建设，实现建设一批新型现代宜居农房，建立“数字农房”管理服务平台，健全农村低收入人口住房安全保障机制。</w:t>
            </w:r>
          </w:p>
          <w:p>
            <w:pPr>
              <w:adjustRightInd w:val="0"/>
              <w:snapToGrid w:val="0"/>
              <w:ind w:firstLine="0" w:firstLineChars="0"/>
              <w:jc w:val="left"/>
              <w:rPr>
                <w:rFonts w:ascii="宋体" w:hAnsi="宋体"/>
                <w:color w:val="000000"/>
                <w:sz w:val="22"/>
              </w:rPr>
            </w:pPr>
            <w:r>
              <w:rPr>
                <w:rFonts w:hint="eastAsia" w:ascii="宋体" w:hAnsi="宋体"/>
                <w:b/>
                <w:color w:val="000000"/>
                <w:sz w:val="22"/>
              </w:rPr>
              <w:t>1.</w:t>
            </w:r>
            <w:r>
              <w:rPr>
                <w:rFonts w:ascii="宋体" w:hAnsi="宋体"/>
                <w:b/>
                <w:color w:val="000000"/>
                <w:sz w:val="22"/>
              </w:rPr>
              <w:t>农村房屋安全隐患排查整治工程。</w:t>
            </w:r>
            <w:r>
              <w:rPr>
                <w:rFonts w:ascii="宋体" w:hAnsi="宋体"/>
                <w:color w:val="000000"/>
                <w:sz w:val="22"/>
              </w:rPr>
              <w:t>到2022年底，完成摸底排查和评估鉴定工作，科学制定分类处置措施，推进问题整治工作。</w:t>
            </w:r>
          </w:p>
          <w:p>
            <w:pPr>
              <w:adjustRightInd w:val="0"/>
              <w:snapToGrid w:val="0"/>
              <w:ind w:firstLine="0" w:firstLineChars="0"/>
              <w:jc w:val="left"/>
              <w:rPr>
                <w:rFonts w:ascii="宋体" w:hAnsi="宋体"/>
                <w:color w:val="000000"/>
                <w:sz w:val="22"/>
              </w:rPr>
            </w:pPr>
            <w:r>
              <w:rPr>
                <w:rFonts w:hint="eastAsia" w:ascii="宋体" w:hAnsi="宋体"/>
                <w:b/>
                <w:color w:val="000000"/>
                <w:sz w:val="22"/>
              </w:rPr>
              <w:t>2.</w:t>
            </w:r>
            <w:r>
              <w:rPr>
                <w:rFonts w:ascii="宋体" w:hAnsi="宋体"/>
                <w:b/>
                <w:color w:val="000000"/>
                <w:sz w:val="22"/>
              </w:rPr>
              <w:t>农村危房改造工程。</w:t>
            </w:r>
            <w:r>
              <w:rPr>
                <w:rFonts w:ascii="宋体" w:hAnsi="宋体"/>
                <w:color w:val="000000"/>
                <w:sz w:val="22"/>
              </w:rPr>
              <w:t>继续扩大改造对象范围，统筹协调各类农房建设和土坯房改造，开发农房危房改造“一卡通”阳光审批系统，到2025年，</w:t>
            </w:r>
            <w:r>
              <w:rPr>
                <w:rFonts w:hint="eastAsia" w:ascii="宋体" w:hAnsi="宋体"/>
                <w:color w:val="000000"/>
                <w:sz w:val="22"/>
              </w:rPr>
              <w:t>让更多困难群众享受农房建设政策红利。</w:t>
            </w:r>
          </w:p>
          <w:p>
            <w:pPr>
              <w:adjustRightInd w:val="0"/>
              <w:snapToGrid w:val="0"/>
              <w:ind w:firstLine="0" w:firstLineChars="0"/>
              <w:jc w:val="left"/>
              <w:rPr>
                <w:rFonts w:ascii="宋体" w:hAnsi="宋体"/>
                <w:color w:val="000000"/>
                <w:sz w:val="22"/>
              </w:rPr>
            </w:pPr>
            <w:r>
              <w:rPr>
                <w:rFonts w:hint="eastAsia" w:ascii="宋体" w:hAnsi="宋体"/>
                <w:b/>
                <w:color w:val="000000"/>
                <w:sz w:val="22"/>
              </w:rPr>
              <w:t>3.</w:t>
            </w:r>
            <w:r>
              <w:rPr>
                <w:rFonts w:ascii="宋体" w:hAnsi="宋体"/>
                <w:b/>
                <w:color w:val="000000"/>
                <w:sz w:val="22"/>
              </w:rPr>
              <w:t>装配式农房建设工程。</w:t>
            </w:r>
            <w:r>
              <w:rPr>
                <w:rFonts w:ascii="宋体" w:hAnsi="宋体"/>
                <w:color w:val="000000"/>
                <w:sz w:val="22"/>
              </w:rPr>
              <w:t>到2025年稳步推进装配式农房建设，在农村危房改造、美丽乡村建设、农村住房建设试点等工程率先推广。</w:t>
            </w:r>
          </w:p>
          <w:p>
            <w:pPr>
              <w:adjustRightInd w:val="0"/>
              <w:snapToGrid w:val="0"/>
              <w:ind w:firstLine="0" w:firstLineChars="0"/>
              <w:jc w:val="left"/>
              <w:rPr>
                <w:rFonts w:ascii="宋体" w:hAnsi="宋体"/>
                <w:color w:val="000000"/>
                <w:sz w:val="22"/>
              </w:rPr>
            </w:pPr>
            <w:r>
              <w:rPr>
                <w:rFonts w:hint="eastAsia" w:ascii="宋体" w:hAnsi="宋体"/>
                <w:b/>
                <w:color w:val="000000"/>
                <w:sz w:val="22"/>
              </w:rPr>
              <w:t>4.</w:t>
            </w:r>
            <w:r>
              <w:rPr>
                <w:rFonts w:ascii="宋体" w:hAnsi="宋体"/>
                <w:b/>
                <w:color w:val="000000"/>
                <w:sz w:val="22"/>
              </w:rPr>
              <w:t>“数字农房”管理服务平台。</w:t>
            </w:r>
            <w:r>
              <w:rPr>
                <w:rFonts w:ascii="宋体" w:hAnsi="宋体"/>
                <w:color w:val="000000"/>
                <w:sz w:val="22"/>
              </w:rPr>
              <w:t>积极推动全省数字乡村建设工作，推进农房精细化管理</w:t>
            </w:r>
            <w:r>
              <w:rPr>
                <w:rFonts w:hint="eastAsia" w:ascii="宋体" w:hAnsi="宋体"/>
                <w:color w:val="000000"/>
                <w:sz w:val="22"/>
              </w:rPr>
              <w:t>，</w:t>
            </w:r>
            <w:r>
              <w:rPr>
                <w:rFonts w:ascii="宋体" w:hAnsi="宋体"/>
                <w:color w:val="000000"/>
                <w:sz w:val="22"/>
              </w:rPr>
              <w:t>提高农房设计和建造水平，加强农村宅基地审批、建设监管和农房建设风貌管控，到2025年，实现农村房屋精细化、信息化管理，提高农房建造水平。</w:t>
            </w:r>
          </w:p>
        </w:tc>
      </w:tr>
    </w:tbl>
    <w:p>
      <w:pPr>
        <w:pStyle w:val="6"/>
        <w:ind w:firstLine="141"/>
        <w:rPr>
          <w:rFonts w:ascii="宋体" w:hAnsi="宋体"/>
          <w:color w:val="000000"/>
        </w:rPr>
      </w:pPr>
      <w:bookmarkStart w:id="344" w:name="_Toc118566591"/>
      <w:bookmarkStart w:id="345" w:name="_Toc118566325"/>
      <w:bookmarkStart w:id="346" w:name="_Toc118566725"/>
      <w:bookmarkStart w:id="347" w:name="_Toc118566458"/>
      <w:r>
        <w:rPr>
          <w:rFonts w:hint="eastAsia" w:ascii="宋体" w:hAnsi="宋体"/>
          <w:color w:val="000000"/>
        </w:rPr>
        <w:t>（三）</w:t>
      </w:r>
      <w:r>
        <w:rPr>
          <w:rFonts w:ascii="宋体" w:hAnsi="宋体"/>
          <w:color w:val="000000"/>
        </w:rPr>
        <w:t>完善乡村公共服务</w:t>
      </w:r>
      <w:bookmarkEnd w:id="344"/>
      <w:bookmarkEnd w:id="345"/>
      <w:bookmarkEnd w:id="346"/>
      <w:bookmarkEnd w:id="347"/>
    </w:p>
    <w:p>
      <w:pPr>
        <w:adjustRightInd w:val="0"/>
        <w:snapToGrid w:val="0"/>
        <w:ind w:firstLine="560"/>
        <w:rPr>
          <w:rFonts w:ascii="宋体" w:hAnsi="宋体"/>
          <w:color w:val="000000"/>
        </w:rPr>
      </w:pPr>
      <w:r>
        <w:rPr>
          <w:rFonts w:hint="eastAsia" w:ascii="宋体" w:hAnsi="宋体"/>
          <w:color w:val="000000"/>
        </w:rPr>
        <w:t>以县城、乡镇为服务核心，以中心村为节点，扩大农村公共服务</w:t>
      </w:r>
      <w:r>
        <w:rPr>
          <w:rFonts w:ascii="宋体" w:hAnsi="宋体"/>
          <w:color w:val="000000"/>
        </w:rPr>
        <w:t>有效供给，充分发挥有效市场和有为政府作用，整体性、普惠性提升农村教育、医疗、卫生、养老、文化等公共服务质量水平。</w:t>
      </w:r>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w:t>
      </w:r>
      <w:r>
        <w:rPr>
          <w:rFonts w:hint="eastAsia" w:ascii="宋体" w:hAnsi="宋体"/>
          <w:color w:val="000000"/>
        </w:rPr>
        <w:t>保障农村学生享有公平且有质量的教育</w:t>
      </w:r>
    </w:p>
    <w:p>
      <w:pPr>
        <w:adjustRightInd w:val="0"/>
        <w:snapToGrid w:val="0"/>
        <w:ind w:firstLine="560"/>
        <w:rPr>
          <w:rFonts w:ascii="宋体" w:hAnsi="宋体"/>
          <w:color w:val="000000"/>
        </w:rPr>
      </w:pPr>
      <w:r>
        <w:rPr>
          <w:rFonts w:hint="eastAsia" w:ascii="宋体" w:hAnsi="宋体"/>
          <w:color w:val="000000"/>
        </w:rPr>
        <w:t>推动城乡义务教育一体</w:t>
      </w:r>
      <w:r>
        <w:rPr>
          <w:rFonts w:ascii="宋体" w:hAnsi="宋体"/>
          <w:color w:val="000000"/>
        </w:rPr>
        <w:t>化发展，加强农村儿童健康改善和早期教育、学前教育。统筹乡村小规模学校、乡镇寄宿学校和乡村完全小学的布局，加快实现农村小学宽带网路覆盖，促进办学条件进一步完善，教育质量持续提升。</w:t>
      </w:r>
    </w:p>
    <w:p>
      <w:pPr>
        <w:pStyle w:val="7"/>
        <w:tabs>
          <w:tab w:val="left" w:pos="720"/>
        </w:tabs>
        <w:adjustRightInd w:val="0"/>
        <w:snapToGrid w:val="0"/>
        <w:rPr>
          <w:rFonts w:ascii="宋体" w:hAnsi="宋体"/>
          <w:color w:val="000000"/>
        </w:rPr>
      </w:pPr>
      <w:r>
        <w:rPr>
          <w:rFonts w:hint="eastAsia" w:ascii="宋体" w:hAnsi="宋体"/>
          <w:color w:val="000000"/>
        </w:rPr>
        <w:t>2</w:t>
      </w:r>
      <w:r>
        <w:rPr>
          <w:rFonts w:ascii="宋体" w:hAnsi="宋体"/>
          <w:color w:val="000000"/>
        </w:rPr>
        <w:t>.</w:t>
      </w:r>
      <w:r>
        <w:rPr>
          <w:rFonts w:hint="eastAsia" w:ascii="宋体" w:hAnsi="宋体"/>
          <w:color w:val="000000"/>
        </w:rPr>
        <w:t>推进健康乡村建设</w:t>
      </w:r>
    </w:p>
    <w:p>
      <w:pPr>
        <w:adjustRightInd w:val="0"/>
        <w:snapToGrid w:val="0"/>
        <w:ind w:firstLine="560"/>
        <w:rPr>
          <w:rFonts w:ascii="宋体" w:hAnsi="宋体"/>
          <w:color w:val="000000"/>
        </w:rPr>
      </w:pPr>
      <w:r>
        <w:rPr>
          <w:rFonts w:hint="eastAsia" w:ascii="宋体" w:hAnsi="宋体"/>
          <w:color w:val="000000"/>
        </w:rPr>
        <w:t>加强基层医疗卫生服务体系建设，提升村卫</w:t>
      </w:r>
      <w:r>
        <w:rPr>
          <w:rFonts w:ascii="宋体" w:hAnsi="宋体"/>
          <w:color w:val="000000"/>
        </w:rPr>
        <w:t>生室服务能力，推进乡村医生一体化管理，实施医疗资源城乡流动与对口帮扶机制，加强卫生健康教育和科学知识普及，提升农村公共卫生服务水平和防控能力，引导村民自觉养成健康良好行为习惯，提升健康素养水平。</w:t>
      </w:r>
    </w:p>
    <w:p>
      <w:pPr>
        <w:pStyle w:val="7"/>
        <w:tabs>
          <w:tab w:val="left" w:pos="720"/>
        </w:tabs>
        <w:adjustRightInd w:val="0"/>
        <w:snapToGrid w:val="0"/>
        <w:rPr>
          <w:rFonts w:ascii="宋体" w:hAnsi="宋体"/>
          <w:color w:val="000000"/>
        </w:rPr>
      </w:pPr>
      <w:r>
        <w:rPr>
          <w:rFonts w:hint="eastAsia" w:ascii="宋体" w:hAnsi="宋体"/>
          <w:color w:val="000000"/>
        </w:rPr>
        <w:t>3</w:t>
      </w:r>
      <w:r>
        <w:rPr>
          <w:rFonts w:ascii="宋体" w:hAnsi="宋体"/>
          <w:color w:val="000000"/>
        </w:rPr>
        <w:t>.</w:t>
      </w:r>
      <w:r>
        <w:rPr>
          <w:rFonts w:hint="eastAsia" w:ascii="宋体" w:hAnsi="宋体"/>
          <w:color w:val="000000"/>
        </w:rPr>
        <w:t>构建农村养老服务体系</w:t>
      </w:r>
    </w:p>
    <w:p>
      <w:pPr>
        <w:adjustRightInd w:val="0"/>
        <w:snapToGrid w:val="0"/>
        <w:ind w:firstLine="560"/>
        <w:rPr>
          <w:rFonts w:ascii="宋体" w:hAnsi="宋体"/>
          <w:color w:val="000000"/>
        </w:rPr>
      </w:pPr>
      <w:r>
        <w:rPr>
          <w:rFonts w:hint="eastAsia" w:ascii="宋体" w:hAnsi="宋体"/>
          <w:color w:val="000000"/>
        </w:rPr>
        <w:t>健全县乡村衔接的三级养老服务网络，</w:t>
      </w:r>
      <w:r>
        <w:rPr>
          <w:rFonts w:ascii="宋体" w:hAnsi="宋体"/>
          <w:color w:val="000000"/>
        </w:rPr>
        <w:t>推动村级幸福院、日间照料中心等养老服务设施建设，发展农村普惠型养老服务和互助性养老，支持涉农县建设农村区域养老服务中心。</w:t>
      </w:r>
    </w:p>
    <w:p>
      <w:pPr>
        <w:pStyle w:val="7"/>
        <w:tabs>
          <w:tab w:val="left" w:pos="720"/>
        </w:tabs>
        <w:adjustRightInd w:val="0"/>
        <w:snapToGrid w:val="0"/>
        <w:rPr>
          <w:rFonts w:ascii="宋体" w:hAnsi="宋体"/>
          <w:color w:val="000000"/>
        </w:rPr>
      </w:pPr>
      <w:r>
        <w:rPr>
          <w:rFonts w:hint="eastAsia" w:ascii="宋体" w:hAnsi="宋体"/>
          <w:color w:val="000000"/>
        </w:rPr>
        <w:t>4</w:t>
      </w:r>
      <w:r>
        <w:rPr>
          <w:rFonts w:ascii="宋体" w:hAnsi="宋体"/>
          <w:color w:val="000000"/>
        </w:rPr>
        <w:t>.</w:t>
      </w:r>
      <w:r>
        <w:rPr>
          <w:rFonts w:hint="eastAsia" w:ascii="宋体" w:hAnsi="宋体"/>
          <w:color w:val="000000"/>
        </w:rPr>
        <w:t>完善村庄文化服务设施</w:t>
      </w:r>
    </w:p>
    <w:p>
      <w:pPr>
        <w:adjustRightInd w:val="0"/>
        <w:snapToGrid w:val="0"/>
        <w:ind w:firstLine="560"/>
        <w:rPr>
          <w:rFonts w:ascii="宋体" w:hAnsi="宋体"/>
          <w:color w:val="000000"/>
        </w:rPr>
      </w:pPr>
      <w:r>
        <w:rPr>
          <w:rFonts w:hint="eastAsia" w:ascii="宋体" w:hAnsi="宋体"/>
          <w:color w:val="000000"/>
        </w:rPr>
        <w:t>加强乡村基层综合性文化服务中心建设</w:t>
      </w:r>
      <w:r>
        <w:rPr>
          <w:rFonts w:ascii="宋体" w:hAnsi="宋体"/>
          <w:color w:val="000000"/>
        </w:rPr>
        <w:t>和体育健身场地建设，实现乡村两级公共文化服务全覆盖。推动农村建设一批新型公共文化空间。</w:t>
      </w:r>
    </w:p>
    <w:p>
      <w:pPr>
        <w:pStyle w:val="7"/>
        <w:tabs>
          <w:tab w:val="left" w:pos="720"/>
        </w:tabs>
        <w:adjustRightInd w:val="0"/>
        <w:snapToGrid w:val="0"/>
        <w:rPr>
          <w:rFonts w:ascii="宋体" w:hAnsi="宋体"/>
          <w:color w:val="000000"/>
        </w:rPr>
      </w:pPr>
      <w:r>
        <w:rPr>
          <w:rFonts w:hint="eastAsia" w:ascii="宋体" w:hAnsi="宋体"/>
          <w:color w:val="000000"/>
        </w:rPr>
        <w:t>5</w:t>
      </w:r>
      <w:r>
        <w:rPr>
          <w:rFonts w:ascii="宋体" w:hAnsi="宋体"/>
          <w:color w:val="000000"/>
        </w:rPr>
        <w:t>.</w:t>
      </w:r>
      <w:r>
        <w:rPr>
          <w:rFonts w:hint="eastAsia" w:ascii="宋体" w:hAnsi="宋体"/>
          <w:color w:val="000000"/>
        </w:rPr>
        <w:t>完善农村体育健身设施配置</w:t>
      </w:r>
    </w:p>
    <w:p>
      <w:pPr>
        <w:adjustRightInd w:val="0"/>
        <w:snapToGrid w:val="0"/>
        <w:ind w:firstLine="560"/>
        <w:rPr>
          <w:rFonts w:ascii="宋体" w:hAnsi="宋体"/>
          <w:color w:val="000000"/>
        </w:rPr>
      </w:pPr>
      <w:r>
        <w:rPr>
          <w:rFonts w:hint="eastAsia" w:ascii="宋体" w:hAnsi="宋体"/>
          <w:color w:val="000000"/>
        </w:rPr>
        <w:t>完善农村农民体育健身设施，保障</w:t>
      </w:r>
      <w:r>
        <w:rPr>
          <w:rFonts w:ascii="宋体" w:hAnsi="宋体"/>
          <w:color w:val="000000"/>
        </w:rPr>
        <w:t>每个行政村均配置体育健身设施，有条件的行政村要配置室外篮球场、室外乒乓球场</w:t>
      </w:r>
      <w:r>
        <w:rPr>
          <w:rFonts w:hint="eastAsia" w:ascii="宋体" w:hAnsi="宋体"/>
          <w:color w:val="000000"/>
        </w:rPr>
        <w:t>等体育设施</w:t>
      </w:r>
      <w:r>
        <w:rPr>
          <w:rFonts w:ascii="宋体" w:hAnsi="宋体"/>
          <w:color w:val="000000"/>
        </w:rPr>
        <w:t>。</w:t>
      </w:r>
    </w:p>
    <w:p>
      <w:pPr>
        <w:pStyle w:val="7"/>
        <w:tabs>
          <w:tab w:val="left" w:pos="720"/>
        </w:tabs>
        <w:adjustRightInd w:val="0"/>
        <w:snapToGrid w:val="0"/>
        <w:rPr>
          <w:rFonts w:ascii="宋体" w:hAnsi="宋体"/>
          <w:color w:val="000000"/>
        </w:rPr>
      </w:pPr>
      <w:r>
        <w:rPr>
          <w:rFonts w:hint="eastAsia" w:ascii="宋体" w:hAnsi="宋体"/>
          <w:color w:val="000000"/>
        </w:rPr>
        <w:t>6</w:t>
      </w:r>
      <w:r>
        <w:rPr>
          <w:rFonts w:ascii="宋体" w:hAnsi="宋体"/>
          <w:color w:val="000000"/>
        </w:rPr>
        <w:t>.</w:t>
      </w:r>
      <w:r>
        <w:rPr>
          <w:rFonts w:hint="eastAsia" w:ascii="宋体" w:hAnsi="宋体"/>
          <w:color w:val="000000"/>
        </w:rPr>
        <w:t>健全便民服务体系</w:t>
      </w:r>
    </w:p>
    <w:p>
      <w:pPr>
        <w:adjustRightInd w:val="0"/>
        <w:snapToGrid w:val="0"/>
        <w:ind w:firstLine="560"/>
        <w:rPr>
          <w:rFonts w:ascii="宋体" w:hAnsi="宋体"/>
          <w:color w:val="000000"/>
        </w:rPr>
      </w:pPr>
      <w:r>
        <w:rPr>
          <w:rFonts w:hint="eastAsia" w:ascii="宋体" w:hAnsi="宋体"/>
          <w:color w:val="000000"/>
        </w:rPr>
        <w:t>整合优化乡村建设公共服务和行政审批职</w:t>
      </w:r>
      <w:r>
        <w:rPr>
          <w:rFonts w:ascii="宋体" w:hAnsi="宋体"/>
          <w:color w:val="000000"/>
        </w:rPr>
        <w:t>责，打造“一门式办理、一站式服务"的综合服务平台。建立社区公共服务事项全程委托代理机制，推行上门办理、预约办理、自助办理、委托代办等服务，在村庄普遍建立网上服务站点，逐步形成完善的村庄便民服务体系。</w:t>
      </w:r>
    </w:p>
    <w:p>
      <w:pPr>
        <w:pStyle w:val="6"/>
        <w:ind w:firstLine="141"/>
        <w:rPr>
          <w:color w:val="000000"/>
        </w:rPr>
      </w:pPr>
      <w:bookmarkStart w:id="348" w:name="_Toc118566592"/>
      <w:bookmarkStart w:id="349" w:name="_Toc118566326"/>
      <w:bookmarkStart w:id="350" w:name="_Toc118566459"/>
      <w:bookmarkStart w:id="351" w:name="_Toc118566726"/>
      <w:r>
        <w:rPr>
          <w:rFonts w:hint="eastAsia"/>
          <w:color w:val="000000"/>
        </w:rPr>
        <w:t>（四）提升</w:t>
      </w:r>
      <w:r>
        <w:rPr>
          <w:color w:val="000000"/>
        </w:rPr>
        <w:t>乡村基础设施</w:t>
      </w:r>
      <w:r>
        <w:rPr>
          <w:rFonts w:hint="eastAsia"/>
          <w:color w:val="000000"/>
        </w:rPr>
        <w:t>水平</w:t>
      </w:r>
      <w:bookmarkEnd w:id="348"/>
      <w:bookmarkEnd w:id="349"/>
      <w:bookmarkEnd w:id="350"/>
      <w:bookmarkEnd w:id="351"/>
    </w:p>
    <w:p>
      <w:pPr>
        <w:pStyle w:val="7"/>
        <w:tabs>
          <w:tab w:val="left" w:pos="720"/>
        </w:tabs>
        <w:adjustRightInd w:val="0"/>
        <w:snapToGrid w:val="0"/>
        <w:rPr>
          <w:rFonts w:ascii="宋体" w:hAnsi="宋体"/>
          <w:color w:val="000000"/>
        </w:rPr>
      </w:pPr>
      <w:r>
        <w:rPr>
          <w:rFonts w:hint="eastAsia" w:ascii="宋体" w:hAnsi="宋体"/>
          <w:color w:val="000000"/>
        </w:rPr>
        <w:t>1</w:t>
      </w:r>
      <w:r>
        <w:rPr>
          <w:rFonts w:ascii="宋体" w:hAnsi="宋体"/>
          <w:color w:val="000000"/>
        </w:rPr>
        <w:t>.</w:t>
      </w:r>
      <w:r>
        <w:rPr>
          <w:rFonts w:hint="eastAsia" w:ascii="宋体" w:hAnsi="宋体"/>
          <w:color w:val="000000"/>
        </w:rPr>
        <w:t>加强农村居民点对外交通建设</w:t>
      </w:r>
    </w:p>
    <w:p>
      <w:pPr>
        <w:adjustRightInd w:val="0"/>
        <w:snapToGrid w:val="0"/>
        <w:ind w:firstLine="560"/>
        <w:rPr>
          <w:rFonts w:ascii="宋体" w:hAnsi="宋体"/>
          <w:color w:val="000000"/>
        </w:rPr>
      </w:pPr>
      <w:r>
        <w:rPr>
          <w:rFonts w:hint="eastAsia" w:ascii="宋体" w:hAnsi="宋体"/>
          <w:color w:val="000000"/>
        </w:rPr>
        <w:t>结合各地发展需求，落实“农村</w:t>
      </w:r>
      <w:r>
        <w:rPr>
          <w:rFonts w:ascii="宋体" w:hAnsi="宋体"/>
          <w:color w:val="000000"/>
        </w:rPr>
        <w:t>公路+</w:t>
      </w:r>
      <w:r>
        <w:rPr>
          <w:rFonts w:hint="eastAsia" w:ascii="宋体" w:hAnsi="宋体"/>
          <w:color w:val="000000"/>
        </w:rPr>
        <w:t>”</w:t>
      </w:r>
      <w:r>
        <w:rPr>
          <w:rFonts w:ascii="宋体" w:hAnsi="宋体"/>
          <w:color w:val="000000"/>
        </w:rPr>
        <w:t>理念，打造脱贫致富路、特色发展路、优美舒心路，加强农村资源路、产业路、旅游路建设，系统提升乡镇三级及以上公路通达率。开展城乡交通运输一体化示范创建工程，提升城乡交通公共服务均等化水平。加快村庄对外联系道路建设，拓展乡村公交线路覆盖范围，建设便民候车亭。深化农村公路管理养护体制改革，推进“四好农村路"高质量发展工作，坚持建、管、护、运营并重的原则，全面提升农村道路建设养护与交通安全管理。至2025年，</w:t>
      </w:r>
      <w:r>
        <w:rPr>
          <w:rFonts w:hint="eastAsia" w:ascii="宋体" w:hAnsi="宋体"/>
          <w:color w:val="000000"/>
        </w:rPr>
        <w:t>力争30户及以上较大人口规模自然村（组）通硬化路比例达95%，乡村公交线路覆盖率达到</w:t>
      </w:r>
      <w:r>
        <w:rPr>
          <w:rFonts w:ascii="宋体" w:hAnsi="宋体"/>
          <w:color w:val="000000"/>
        </w:rPr>
        <w:t>85%。</w:t>
      </w:r>
    </w:p>
    <w:p>
      <w:pPr>
        <w:pStyle w:val="7"/>
        <w:tabs>
          <w:tab w:val="left" w:pos="720"/>
        </w:tabs>
        <w:adjustRightInd w:val="0"/>
        <w:snapToGrid w:val="0"/>
        <w:rPr>
          <w:rFonts w:ascii="宋体" w:hAnsi="宋体"/>
          <w:color w:val="000000"/>
        </w:rPr>
      </w:pPr>
      <w:r>
        <w:rPr>
          <w:rFonts w:hint="eastAsia" w:ascii="宋体" w:hAnsi="宋体"/>
          <w:color w:val="000000"/>
        </w:rPr>
        <w:t>2</w:t>
      </w:r>
      <w:r>
        <w:rPr>
          <w:rFonts w:ascii="宋体" w:hAnsi="宋体"/>
          <w:color w:val="000000"/>
        </w:rPr>
        <w:t>.</w:t>
      </w:r>
      <w:r>
        <w:rPr>
          <w:rFonts w:hint="eastAsia" w:ascii="宋体" w:hAnsi="宋体"/>
          <w:color w:val="000000"/>
        </w:rPr>
        <w:t>推进村屯内部道路“三化”</w:t>
      </w:r>
    </w:p>
    <w:p>
      <w:pPr>
        <w:adjustRightInd w:val="0"/>
        <w:snapToGrid w:val="0"/>
        <w:ind w:firstLine="560"/>
        <w:rPr>
          <w:rFonts w:ascii="宋体" w:hAnsi="宋体"/>
          <w:color w:val="000000"/>
        </w:rPr>
      </w:pPr>
      <w:r>
        <w:rPr>
          <w:rFonts w:ascii="宋体" w:hAnsi="宋体"/>
          <w:color w:val="000000"/>
        </w:rPr>
        <w:t>加快农村内部道路建设，推进村庄公共照明，行政村出入口、主要道路两侧、公共场所建设公共照明设施。推进集聚提升类村庄、特色保护类村庄全部实现内部道路“三化”（硬化、绿化、亮化），推动交通建设项目更多向进村入户倾斜。2025年，20户以上的自然村（贫困村）基本建成砂石路以上级别内部道路。</w:t>
      </w:r>
    </w:p>
    <w:p>
      <w:pPr>
        <w:pStyle w:val="7"/>
        <w:tabs>
          <w:tab w:val="left" w:pos="720"/>
        </w:tabs>
        <w:adjustRightInd w:val="0"/>
        <w:snapToGrid w:val="0"/>
        <w:rPr>
          <w:rFonts w:ascii="宋体" w:hAnsi="宋体"/>
          <w:color w:val="000000"/>
        </w:rPr>
      </w:pPr>
      <w:r>
        <w:rPr>
          <w:rFonts w:ascii="宋体" w:hAnsi="宋体"/>
          <w:color w:val="000000"/>
        </w:rPr>
        <w:t>3.</w:t>
      </w:r>
      <w:r>
        <w:rPr>
          <w:rFonts w:hint="eastAsia" w:ascii="宋体" w:hAnsi="宋体"/>
          <w:color w:val="000000"/>
        </w:rPr>
        <w:t>实施农村供水保障工程</w:t>
      </w:r>
    </w:p>
    <w:p>
      <w:pPr>
        <w:adjustRightInd w:val="0"/>
        <w:snapToGrid w:val="0"/>
        <w:ind w:firstLine="560"/>
        <w:rPr>
          <w:rFonts w:ascii="宋体" w:hAnsi="宋体"/>
          <w:color w:val="000000"/>
        </w:rPr>
      </w:pPr>
      <w:r>
        <w:rPr>
          <w:rFonts w:hint="eastAsia" w:ascii="宋体" w:hAnsi="宋体"/>
          <w:color w:val="000000"/>
        </w:rPr>
        <w:t>加快农村供水网络建设，按照建大、并中、减小的思路，通过新建、扩建、配套、改造和联网等方式，不断优化农村供水工程布局，构建从源头到龙头的农村供水保障网，推动城乡一体化、规模化供水，有条件</w:t>
      </w:r>
      <w:r>
        <w:rPr>
          <w:rFonts w:ascii="宋体" w:hAnsi="宋体"/>
          <w:color w:val="000000"/>
        </w:rPr>
        <w:t>的地区实现城乡供水同网同质同价同服务。加强工程建设后运行管护工作，巩固饮水安全脱贫攻坚工作成效，进一步提升供水保障水平。</w:t>
      </w:r>
      <w:r>
        <w:rPr>
          <w:rFonts w:hint="eastAsia" w:ascii="宋体" w:hAnsi="宋体"/>
          <w:color w:val="000000"/>
        </w:rPr>
        <w:t>到2025年，农村自来水普及率达到</w:t>
      </w:r>
      <w:r>
        <w:rPr>
          <w:rFonts w:ascii="宋体" w:hAnsi="宋体"/>
          <w:color w:val="000000"/>
        </w:rPr>
        <w:t>91.2</w:t>
      </w:r>
      <w:r>
        <w:rPr>
          <w:rFonts w:hint="eastAsia" w:ascii="宋体" w:hAnsi="宋体"/>
          <w:color w:val="000000"/>
        </w:rPr>
        <w:t>%以上，水质合格率稳步提高。</w:t>
      </w:r>
    </w:p>
    <w:p>
      <w:pPr>
        <w:pStyle w:val="7"/>
        <w:tabs>
          <w:tab w:val="left" w:pos="720"/>
        </w:tabs>
        <w:adjustRightInd w:val="0"/>
        <w:snapToGrid w:val="0"/>
        <w:rPr>
          <w:rFonts w:ascii="宋体" w:hAnsi="宋体"/>
          <w:color w:val="000000"/>
        </w:rPr>
      </w:pPr>
      <w:r>
        <w:rPr>
          <w:rFonts w:ascii="宋体" w:hAnsi="宋体"/>
          <w:color w:val="000000"/>
        </w:rPr>
        <w:t>4.</w:t>
      </w:r>
      <w:r>
        <w:rPr>
          <w:rFonts w:hint="eastAsia" w:ascii="宋体" w:hAnsi="宋体"/>
          <w:color w:val="000000"/>
        </w:rPr>
        <w:t>提高农村用电保障能力</w:t>
      </w:r>
    </w:p>
    <w:p>
      <w:pPr>
        <w:adjustRightInd w:val="0"/>
        <w:snapToGrid w:val="0"/>
        <w:ind w:firstLine="560"/>
        <w:rPr>
          <w:rFonts w:ascii="宋体" w:hAnsi="宋体"/>
          <w:color w:val="000000"/>
        </w:rPr>
      </w:pPr>
      <w:r>
        <w:rPr>
          <w:rFonts w:hint="eastAsia" w:ascii="宋体" w:hAnsi="宋体"/>
          <w:color w:val="000000"/>
        </w:rPr>
        <w:t>因地制宜推进农村电网基础设施升级，推动有条件的农村动力电全覆盖，提升农网供电能力和供电质量。强化农村电网运行维护制度，常态化开展用电情况排查和隐患整治，深入分析农村地区线路供电半径、电压合格率、供电可靠率等指标。合理安排资金补强电网，进一步提升农村地区供电质量。至2</w:t>
      </w:r>
      <w:r>
        <w:rPr>
          <w:rFonts w:ascii="宋体" w:hAnsi="宋体"/>
          <w:color w:val="000000"/>
        </w:rPr>
        <w:t>025</w:t>
      </w:r>
      <w:r>
        <w:rPr>
          <w:rFonts w:hint="eastAsia" w:ascii="宋体" w:hAnsi="宋体"/>
          <w:color w:val="000000"/>
        </w:rPr>
        <w:t>年，农网供电可靠率达</w:t>
      </w:r>
      <w:r>
        <w:rPr>
          <w:rFonts w:ascii="宋体" w:hAnsi="宋体"/>
          <w:color w:val="000000"/>
        </w:rPr>
        <w:t>99.8</w:t>
      </w:r>
      <w:r>
        <w:rPr>
          <w:rFonts w:hint="eastAsia" w:ascii="宋体" w:hAnsi="宋体"/>
          <w:color w:val="000000"/>
        </w:rPr>
        <w:t>%。</w:t>
      </w:r>
    </w:p>
    <w:p>
      <w:pPr>
        <w:pStyle w:val="7"/>
        <w:tabs>
          <w:tab w:val="left" w:pos="720"/>
        </w:tabs>
        <w:adjustRightInd w:val="0"/>
        <w:snapToGrid w:val="0"/>
        <w:rPr>
          <w:rFonts w:ascii="宋体" w:hAnsi="宋体"/>
          <w:color w:val="000000"/>
        </w:rPr>
      </w:pPr>
      <w:r>
        <w:rPr>
          <w:rFonts w:ascii="宋体" w:hAnsi="宋体"/>
          <w:color w:val="000000"/>
        </w:rPr>
        <w:t>5.</w:t>
      </w:r>
      <w:r>
        <w:rPr>
          <w:rFonts w:hint="eastAsia" w:ascii="宋体" w:hAnsi="宋体"/>
          <w:color w:val="000000"/>
        </w:rPr>
        <w:t>实施农村清洁能源供给工程</w:t>
      </w:r>
    </w:p>
    <w:p>
      <w:pPr>
        <w:adjustRightInd w:val="0"/>
        <w:snapToGrid w:val="0"/>
        <w:ind w:firstLine="560"/>
        <w:rPr>
          <w:rFonts w:ascii="宋体" w:hAnsi="宋体"/>
          <w:color w:val="000000"/>
        </w:rPr>
      </w:pPr>
      <w:r>
        <w:rPr>
          <w:rFonts w:hint="eastAsia" w:ascii="宋体" w:hAnsi="宋体"/>
          <w:color w:val="000000"/>
        </w:rPr>
        <w:t>统筹城乡供气布局，提高农村地区</w:t>
      </w:r>
      <w:r>
        <w:rPr>
          <w:rFonts w:ascii="宋体" w:hAnsi="宋体"/>
          <w:color w:val="000000"/>
        </w:rPr>
        <w:t>天然气通达能力，逐步扩大使用燃气作为主要能源的农户比例，提高农村能源需求保障率。发展农村生物质能源，实施农村能源利用提升改造，增加农村燃气供给，改造沼气管理模式，扩大太阳能使用范围，提高清洁能源利用水平。鼓励农户因地制宜通过建沼气池、安装太阳能灯具、使用太阳能热水器、液化气等方式使用清洁能源。</w:t>
      </w:r>
    </w:p>
    <w:p>
      <w:pPr>
        <w:pStyle w:val="7"/>
        <w:tabs>
          <w:tab w:val="left" w:pos="720"/>
        </w:tabs>
        <w:adjustRightInd w:val="0"/>
        <w:snapToGrid w:val="0"/>
        <w:rPr>
          <w:rFonts w:ascii="宋体" w:hAnsi="宋体"/>
          <w:color w:val="000000"/>
        </w:rPr>
      </w:pPr>
      <w:r>
        <w:rPr>
          <w:rFonts w:ascii="宋体" w:hAnsi="宋体"/>
          <w:color w:val="000000"/>
        </w:rPr>
        <w:t>6.</w:t>
      </w:r>
      <w:r>
        <w:rPr>
          <w:rFonts w:hint="eastAsia" w:ascii="宋体" w:hAnsi="宋体"/>
          <w:color w:val="000000"/>
        </w:rPr>
        <w:t>加强农村地区信息基础设施建设</w:t>
      </w:r>
    </w:p>
    <w:p>
      <w:pPr>
        <w:adjustRightInd w:val="0"/>
        <w:snapToGrid w:val="0"/>
        <w:ind w:firstLine="560"/>
        <w:rPr>
          <w:rFonts w:ascii="宋体" w:hAnsi="宋体"/>
          <w:color w:val="000000"/>
        </w:rPr>
      </w:pPr>
      <w:r>
        <w:rPr>
          <w:rFonts w:hint="eastAsia" w:ascii="宋体" w:hAnsi="宋体"/>
          <w:color w:val="000000"/>
        </w:rPr>
        <w:t>支持农村及偏远地区信息通信</w:t>
      </w:r>
      <w:r>
        <w:rPr>
          <w:rFonts w:ascii="宋体" w:hAnsi="宋体"/>
          <w:color w:val="000000"/>
        </w:rPr>
        <w:t>基础设施建设。实施数字乡村战略，推动千兆光网、4G网络、5G网络和移动物联网向农村延伸，支持远程教育、远程医疗进村等信息服务。完善农村广播电视公共服务覆盖体系，推进数字广播电视户户通。加快乡村现代物流基础设施建设，统筹建设农业生产资料、生活物资和农产品现代物流基础设施，着重建设粮食物流设施和鲜活农产品冷链物流设施</w:t>
      </w:r>
      <w:r>
        <w:rPr>
          <w:rFonts w:hint="eastAsia" w:ascii="宋体" w:hAnsi="宋体"/>
          <w:color w:val="000000"/>
        </w:rPr>
        <w:t>。鼓励交通运输、商务、供销、农业农村、邮政联动协同，有效整合货源和运力资源，完善县乡村三级农村物流体系建设</w:t>
      </w:r>
      <w:r>
        <w:rPr>
          <w:rFonts w:ascii="宋体" w:hAnsi="宋体"/>
          <w:color w:val="000000"/>
        </w:rPr>
        <w:t>。依托</w:t>
      </w:r>
      <w:r>
        <w:rPr>
          <w:rFonts w:hint="eastAsia" w:ascii="宋体" w:hAnsi="宋体"/>
          <w:color w:val="000000"/>
        </w:rPr>
        <w:t>广元</w:t>
      </w:r>
      <w:r>
        <w:rPr>
          <w:rFonts w:ascii="宋体" w:hAnsi="宋体"/>
          <w:color w:val="000000"/>
        </w:rPr>
        <w:t>公共数据开放平台，推进乡村现代物流公共信息平台建设，集成物流供需信息发布、在线交易、信息查询、数据分析和跟踪追溯等服</w:t>
      </w:r>
      <w:r>
        <w:rPr>
          <w:rFonts w:hint="eastAsia" w:ascii="宋体" w:hAnsi="宋体"/>
          <w:color w:val="000000"/>
        </w:rPr>
        <w:t>务，实质性提高乡村现代物流服务效率。</w:t>
      </w:r>
    </w:p>
    <w:p>
      <w:pPr>
        <w:pStyle w:val="7"/>
        <w:tabs>
          <w:tab w:val="left" w:pos="720"/>
        </w:tabs>
        <w:adjustRightInd w:val="0"/>
        <w:snapToGrid w:val="0"/>
        <w:rPr>
          <w:rFonts w:ascii="宋体" w:hAnsi="宋体"/>
          <w:color w:val="000000"/>
        </w:rPr>
      </w:pPr>
      <w:r>
        <w:rPr>
          <w:rFonts w:ascii="宋体" w:hAnsi="宋体"/>
          <w:color w:val="000000"/>
        </w:rPr>
        <w:t>7.</w:t>
      </w:r>
      <w:r>
        <w:rPr>
          <w:rFonts w:hint="eastAsia" w:ascii="宋体" w:hAnsi="宋体"/>
          <w:color w:val="000000"/>
        </w:rPr>
        <w:t>全面推进“厕所革命”</w:t>
      </w:r>
    </w:p>
    <w:p>
      <w:pPr>
        <w:adjustRightInd w:val="0"/>
        <w:snapToGrid w:val="0"/>
        <w:ind w:firstLine="560"/>
        <w:rPr>
          <w:rFonts w:ascii="宋体" w:hAnsi="宋体"/>
          <w:color w:val="000000"/>
        </w:rPr>
      </w:pPr>
      <w:r>
        <w:rPr>
          <w:rFonts w:hint="eastAsia" w:ascii="宋体" w:hAnsi="宋体"/>
          <w:color w:val="000000"/>
        </w:rPr>
        <w:t>统筹农村改厕和污水、黑臭水体治理，</w:t>
      </w:r>
      <w:r>
        <w:rPr>
          <w:rFonts w:ascii="宋体" w:hAnsi="宋体"/>
          <w:color w:val="000000"/>
        </w:rPr>
        <w:t>因地制宜建设污水处理设施。推动各地开展厕所粪污与生活污水治理一体化建设，因地制宜推进厕所粪污分散处理、集中处理或纳入污水管网，鼓励联户、联村、村镇一体化处理，有条件的地方重点开展</w:t>
      </w:r>
      <w:r>
        <w:rPr>
          <w:rFonts w:hint="eastAsia" w:ascii="宋体" w:hAnsi="宋体"/>
          <w:color w:val="000000"/>
        </w:rPr>
        <w:t>“</w:t>
      </w:r>
      <w:r>
        <w:rPr>
          <w:rFonts w:ascii="宋体" w:hAnsi="宋体"/>
          <w:color w:val="000000"/>
        </w:rPr>
        <w:t>三个两、无动力、低成本</w:t>
      </w:r>
      <w:r>
        <w:rPr>
          <w:rFonts w:hint="eastAsia" w:ascii="宋体" w:hAnsi="宋体"/>
          <w:color w:val="000000"/>
        </w:rPr>
        <w:t>”</w:t>
      </w:r>
      <w:r>
        <w:rPr>
          <w:rFonts w:ascii="宋体" w:hAnsi="宋体"/>
          <w:color w:val="000000"/>
        </w:rPr>
        <w:t>的农村厕所黑灰污水治理的整村推进示范推广。加大农村厕所粪污治理力度，探索推广粪污制肥、有效还田技术与畜禽养殖废弃物一并处理并资源化利用技术。</w:t>
      </w:r>
      <w:r>
        <w:rPr>
          <w:rFonts w:hint="eastAsia" w:ascii="宋体" w:hAnsi="宋体"/>
          <w:color w:val="000000"/>
        </w:rPr>
        <w:t>逐步推动就地就近消纳、综合利用，建立健全后续管护机制。统筹实施农村公厕和乡村旅游点厕所建设，统筹整合有关项目资金，按照因地制宜、合理布局的原则确定农村公厕和乡村旅游点厕所建设数量。到2025年，全市新（改）建农村公厕100座、旅游厕所50座、农村无害化户用卫生厕所5万户以上，新建农村“厕所革命”整村推进示范村150个，农村卫生厕所普及率达到9</w:t>
      </w:r>
      <w:r>
        <w:rPr>
          <w:rFonts w:ascii="宋体" w:hAnsi="宋体"/>
          <w:color w:val="000000"/>
        </w:rPr>
        <w:t>5</w:t>
      </w:r>
      <w:r>
        <w:rPr>
          <w:rFonts w:hint="eastAsia" w:ascii="宋体" w:hAnsi="宋体"/>
          <w:color w:val="000000"/>
        </w:rPr>
        <w:t>%。</w:t>
      </w:r>
    </w:p>
    <w:p>
      <w:pPr>
        <w:pStyle w:val="6"/>
        <w:ind w:firstLine="141"/>
        <w:rPr>
          <w:color w:val="000000"/>
        </w:rPr>
      </w:pPr>
      <w:bookmarkStart w:id="352" w:name="_Toc118566460"/>
      <w:bookmarkStart w:id="353" w:name="_Toc118566327"/>
      <w:bookmarkStart w:id="354" w:name="_Toc118566727"/>
      <w:bookmarkStart w:id="355" w:name="_Toc118566593"/>
      <w:r>
        <w:rPr>
          <w:rFonts w:hint="eastAsia"/>
          <w:color w:val="000000"/>
        </w:rPr>
        <w:t>（五）</w:t>
      </w:r>
      <w:r>
        <w:rPr>
          <w:color w:val="000000"/>
        </w:rPr>
        <w:t>强化乡村环境治理</w:t>
      </w:r>
      <w:bookmarkEnd w:id="352"/>
      <w:bookmarkEnd w:id="353"/>
      <w:bookmarkEnd w:id="354"/>
      <w:bookmarkEnd w:id="355"/>
    </w:p>
    <w:p>
      <w:pPr>
        <w:adjustRightInd w:val="0"/>
        <w:snapToGrid w:val="0"/>
        <w:ind w:firstLine="560"/>
        <w:rPr>
          <w:rFonts w:ascii="宋体" w:hAnsi="宋体"/>
          <w:color w:val="000000"/>
        </w:rPr>
      </w:pPr>
      <w:r>
        <w:rPr>
          <w:rFonts w:hint="eastAsia" w:ascii="宋体" w:hAnsi="宋体"/>
          <w:color w:val="000000"/>
        </w:rPr>
        <w:t>全面推进农村生活垃圾治理、污水治理、沟渠疏浚、黑臭水体治</w:t>
      </w:r>
      <w:r>
        <w:rPr>
          <w:rFonts w:ascii="宋体" w:hAnsi="宋体"/>
          <w:color w:val="000000"/>
        </w:rPr>
        <w:t>理和空气污染防治。优先推进生态敏感区域和规模较大村庄的生态环境修复整治，强化一体化推进、专业化建设，实现常态化管护。</w:t>
      </w:r>
    </w:p>
    <w:p>
      <w:pPr>
        <w:pStyle w:val="7"/>
        <w:tabs>
          <w:tab w:val="left" w:pos="720"/>
        </w:tabs>
        <w:adjustRightInd w:val="0"/>
        <w:snapToGrid w:val="0"/>
        <w:rPr>
          <w:rFonts w:ascii="宋体" w:hAnsi="宋体"/>
          <w:color w:val="000000"/>
        </w:rPr>
      </w:pPr>
      <w:r>
        <w:rPr>
          <w:rFonts w:ascii="宋体" w:hAnsi="宋体"/>
          <w:color w:val="000000"/>
        </w:rPr>
        <w:t>1.</w:t>
      </w:r>
      <w:r>
        <w:rPr>
          <w:rFonts w:hint="eastAsia" w:ascii="宋体" w:hAnsi="宋体"/>
          <w:color w:val="000000"/>
        </w:rPr>
        <w:t>大力推进农村生活垃圾治理</w:t>
      </w:r>
    </w:p>
    <w:p>
      <w:pPr>
        <w:adjustRightInd w:val="0"/>
        <w:snapToGrid w:val="0"/>
        <w:ind w:firstLine="560"/>
        <w:rPr>
          <w:rFonts w:hint="eastAsia" w:ascii="宋体" w:hAnsi="宋体"/>
        </w:rPr>
      </w:pPr>
      <w:r>
        <w:rPr>
          <w:rFonts w:hint="eastAsia" w:ascii="宋体" w:hAnsi="宋体"/>
        </w:rPr>
        <w:t>健全农村生活垃圾“户分类、村收集、乡镇转运、市县处理”收转运处置体系，加强城乡生活垃圾收运处理设施建设，增添收集设施、转运车辆、片区垃圾压缩站等，试点建设一批区域农村有机废弃物综合处置利用设施，补齐生活垃圾处理设施短板。推进农村生活垃圾分类减量与利用，积极探索具有农村特色的生活垃圾分类方式，有条件的地方基本实现农村可回收物资源化利用、易腐烂垃圾就地就近消纳、有害垃圾单独收集贮存和处置、其他垃圾无害化处理。加大农村生活垃圾分类与资源化利用示范乡镇和示范村创建，加快推进朝天区全国农村生活垃圾源头分类减量与资源化利用示范县建设。积极探索低成本、低维护、符合环保要求的“就地就近处理”模式，鼓励推广城乡环卫一体化运营。到2025年，实现行政村生活垃圾收转运处置体系、清扫保洁队伍和收运队伍全覆盖，生活垃圾基本得到有效治理。</w:t>
      </w:r>
    </w:p>
    <w:p>
      <w:pPr>
        <w:pStyle w:val="7"/>
        <w:tabs>
          <w:tab w:val="left" w:pos="720"/>
        </w:tabs>
        <w:adjustRightInd w:val="0"/>
        <w:snapToGrid w:val="0"/>
        <w:rPr>
          <w:rFonts w:ascii="宋体" w:hAnsi="宋体"/>
          <w:color w:val="000000"/>
        </w:rPr>
      </w:pPr>
      <w:r>
        <w:rPr>
          <w:rFonts w:ascii="宋体" w:hAnsi="宋体"/>
          <w:color w:val="000000"/>
        </w:rPr>
        <w:t>2.</w:t>
      </w:r>
      <w:r>
        <w:rPr>
          <w:rFonts w:hint="eastAsia" w:ascii="宋体" w:hAnsi="宋体"/>
          <w:color w:val="000000"/>
        </w:rPr>
        <w:t>大力推进农村生活污水治理</w:t>
      </w:r>
    </w:p>
    <w:p>
      <w:pPr>
        <w:adjustRightInd w:val="0"/>
        <w:snapToGrid w:val="0"/>
        <w:ind w:firstLine="560"/>
        <w:rPr>
          <w:rFonts w:ascii="宋体" w:hAnsi="宋体"/>
          <w:color w:val="000000"/>
        </w:rPr>
      </w:pPr>
      <w:r>
        <w:rPr>
          <w:rFonts w:hint="eastAsia" w:ascii="宋体" w:hAnsi="宋体"/>
          <w:color w:val="000000"/>
        </w:rPr>
        <w:t>持续开展农村水环境治理，鼓励河长制湖长制体系向村级延伸，坚持农村生活污水和农村黑臭水体治理相结合，基本消除较大面积农村黑臭水体，提高农村污水有效治理率。以农村污水治理示范县和农村黑臭水体治理示范县苍溪县为带动，分类实施农村生活污水治理，持续推进</w:t>
      </w:r>
      <w:r>
        <w:rPr>
          <w:rFonts w:ascii="宋体" w:hAnsi="宋体"/>
          <w:color w:val="000000"/>
        </w:rPr>
        <w:t>农村生活污水治理</w:t>
      </w:r>
      <w:r>
        <w:rPr>
          <w:rFonts w:hint="eastAsia" w:ascii="宋体" w:hAnsi="宋体"/>
          <w:color w:val="000000"/>
        </w:rPr>
        <w:t>“千村示范工程”。以水源保护区和城乡结合部、乡镇政府驻地、二级场镇、中心村、乡村旅游区等人口居住集中区域的农村生活污水治理为重点，实现管网延伸配套，完善污水集中处理设施，保障现有设施有效运行，实现污水有效收集、处理和达标排放。对山区及分散式农户通过三格化粪池、生物塘和人工湿地等方式，推进农村污水资源化利用，确保不直排入河。探索建立不同类型的农村生活污水长效运行维护机制。到2</w:t>
      </w:r>
      <w:r>
        <w:rPr>
          <w:rFonts w:ascii="宋体" w:hAnsi="宋体"/>
          <w:color w:val="000000"/>
        </w:rPr>
        <w:t>02</w:t>
      </w:r>
      <w:r>
        <w:rPr>
          <w:rFonts w:hint="eastAsia" w:ascii="宋体" w:hAnsi="宋体"/>
          <w:color w:val="000000"/>
        </w:rPr>
        <w:t>5年，75%以上行政村农村生活污水得到有效治理。</w:t>
      </w:r>
    </w:p>
    <w:p>
      <w:pPr>
        <w:pStyle w:val="7"/>
        <w:tabs>
          <w:tab w:val="left" w:pos="720"/>
        </w:tabs>
        <w:adjustRightInd w:val="0"/>
        <w:snapToGrid w:val="0"/>
        <w:rPr>
          <w:rFonts w:ascii="宋体" w:hAnsi="宋体"/>
          <w:color w:val="000000"/>
        </w:rPr>
      </w:pPr>
      <w:r>
        <w:rPr>
          <w:rFonts w:hint="eastAsia" w:ascii="宋体" w:hAnsi="宋体"/>
          <w:color w:val="000000"/>
        </w:rPr>
        <w:t>3</w:t>
      </w:r>
      <w:r>
        <w:rPr>
          <w:rFonts w:ascii="宋体" w:hAnsi="宋体"/>
          <w:color w:val="000000"/>
        </w:rPr>
        <w:t>.</w:t>
      </w:r>
      <w:r>
        <w:rPr>
          <w:rFonts w:hint="eastAsia" w:ascii="宋体" w:hAnsi="宋体"/>
          <w:color w:val="000000"/>
        </w:rPr>
        <w:t>加快推进沟渠疏浚和黑臭水体治理</w:t>
      </w:r>
    </w:p>
    <w:p>
      <w:pPr>
        <w:adjustRightInd w:val="0"/>
        <w:snapToGrid w:val="0"/>
        <w:ind w:firstLine="560"/>
        <w:rPr>
          <w:rFonts w:ascii="宋体" w:hAnsi="宋体"/>
          <w:color w:val="000000"/>
        </w:rPr>
      </w:pPr>
      <w:r>
        <w:rPr>
          <w:rFonts w:hint="eastAsia" w:ascii="宋体" w:hAnsi="宋体"/>
          <w:color w:val="000000"/>
        </w:rPr>
        <w:t>一是开展清淤疏浚与生态</w:t>
      </w:r>
      <w:r>
        <w:rPr>
          <w:rFonts w:ascii="宋体" w:hAnsi="宋体"/>
          <w:color w:val="000000"/>
        </w:rPr>
        <w:t>修复。落实河长制、湖长制各项责任，组织开展清淤疏浚行动，推进农村小微湿地保护恢复和综合治理，釆取生态措施恢复水环境。二是加强管控农药、化肥面源污染。加强农药、化肥等的使用管控，避免水体富营养化。三是加强管控工业三废污染。重点对乡镇村办的建材、农产品加工、釆矿等工业三废进行严格管控。</w:t>
      </w:r>
    </w:p>
    <w:p>
      <w:pPr>
        <w:pStyle w:val="7"/>
        <w:tabs>
          <w:tab w:val="left" w:pos="720"/>
        </w:tabs>
        <w:adjustRightInd w:val="0"/>
        <w:snapToGrid w:val="0"/>
        <w:rPr>
          <w:rFonts w:ascii="宋体" w:hAnsi="宋体"/>
          <w:color w:val="000000"/>
        </w:rPr>
      </w:pPr>
      <w:r>
        <w:rPr>
          <w:rFonts w:ascii="宋体" w:hAnsi="宋体"/>
          <w:color w:val="000000"/>
        </w:rPr>
        <w:t>4.</w:t>
      </w:r>
      <w:r>
        <w:rPr>
          <w:rFonts w:hint="eastAsia" w:ascii="宋体" w:hAnsi="宋体"/>
          <w:color w:val="000000"/>
        </w:rPr>
        <w:t>实施河湖水系综合整治</w:t>
      </w:r>
    </w:p>
    <w:p>
      <w:pPr>
        <w:adjustRightInd w:val="0"/>
        <w:snapToGrid w:val="0"/>
        <w:ind w:firstLine="560"/>
        <w:rPr>
          <w:rFonts w:ascii="宋体" w:hAnsi="宋体"/>
          <w:color w:val="000000"/>
        </w:rPr>
      </w:pPr>
      <w:r>
        <w:rPr>
          <w:rFonts w:hint="eastAsia" w:ascii="宋体" w:hAnsi="宋体"/>
          <w:color w:val="000000"/>
        </w:rPr>
        <w:t>采取控源截污、清淤疏浚、水体净化等</w:t>
      </w:r>
      <w:r>
        <w:rPr>
          <w:rFonts w:ascii="宋体" w:hAnsi="宋体"/>
          <w:color w:val="000000"/>
        </w:rPr>
        <w:t>措施，到2025年，农村黑臭水体得到有效治理。实施水体连通及水系综合整治工程，坚持</w:t>
      </w:r>
      <w:r>
        <w:rPr>
          <w:rFonts w:hint="eastAsia" w:ascii="宋体" w:hAnsi="宋体"/>
          <w:color w:val="000000"/>
        </w:rPr>
        <w:t>“</w:t>
      </w:r>
      <w:r>
        <w:rPr>
          <w:rFonts w:ascii="宋体" w:hAnsi="宋体"/>
          <w:color w:val="000000"/>
        </w:rPr>
        <w:t>一河一策</w:t>
      </w:r>
      <w:r>
        <w:rPr>
          <w:rFonts w:hint="eastAsia" w:ascii="宋体" w:hAnsi="宋体"/>
          <w:color w:val="000000"/>
        </w:rPr>
        <w:t>”</w:t>
      </w:r>
      <w:r>
        <w:rPr>
          <w:rFonts w:ascii="宋体" w:hAnsi="宋体"/>
          <w:color w:val="000000"/>
        </w:rPr>
        <w:t>，修复水生态环境，贯通河渠水系，实现河畅水清村美。推动小流域沿线乡村公共空间贯通开放，加强小流域治理与沿线文化旅游景观建设</w:t>
      </w:r>
      <w:r>
        <w:rPr>
          <w:rFonts w:hint="eastAsia" w:ascii="宋体" w:hAnsi="宋体"/>
          <w:color w:val="000000"/>
        </w:rPr>
        <w:t>，</w:t>
      </w:r>
      <w:r>
        <w:rPr>
          <w:rFonts w:ascii="宋体" w:hAnsi="宋体"/>
          <w:color w:val="000000"/>
        </w:rPr>
        <w:t>把水资源转化为推进城乡发展、惠民富村的经济优势。推动环境监测、执法向农村延伸。</w:t>
      </w:r>
    </w:p>
    <w:p>
      <w:pPr>
        <w:pStyle w:val="7"/>
        <w:tabs>
          <w:tab w:val="left" w:pos="720"/>
        </w:tabs>
        <w:adjustRightInd w:val="0"/>
        <w:snapToGrid w:val="0"/>
        <w:rPr>
          <w:rFonts w:ascii="宋体" w:hAnsi="宋体"/>
          <w:color w:val="000000"/>
        </w:rPr>
      </w:pPr>
      <w:r>
        <w:rPr>
          <w:rFonts w:ascii="宋体" w:hAnsi="宋体"/>
          <w:color w:val="000000"/>
        </w:rPr>
        <w:t>5.</w:t>
      </w:r>
      <w:r>
        <w:rPr>
          <w:rFonts w:hint="eastAsia" w:ascii="宋体" w:hAnsi="宋体"/>
          <w:color w:val="000000"/>
        </w:rPr>
        <w:t>加强农业面源污染防治</w:t>
      </w:r>
    </w:p>
    <w:p>
      <w:pPr>
        <w:adjustRightInd w:val="0"/>
        <w:snapToGrid w:val="0"/>
        <w:ind w:firstLine="560"/>
        <w:rPr>
          <w:rFonts w:ascii="宋体" w:hAnsi="宋体"/>
          <w:color w:val="000000"/>
        </w:rPr>
      </w:pPr>
      <w:r>
        <w:rPr>
          <w:rFonts w:hint="eastAsia" w:ascii="宋体" w:hAnsi="宋体"/>
          <w:color w:val="000000"/>
        </w:rPr>
        <w:t>推进重点区域农业面源污染防治，优化</w:t>
      </w:r>
      <w:r>
        <w:rPr>
          <w:rFonts w:ascii="宋体" w:hAnsi="宋体"/>
          <w:color w:val="000000"/>
        </w:rPr>
        <w:t>农业生产空间布局，分区分类采取治理措施。实施化肥农药减量增效行动，优化生产布局，推进</w:t>
      </w:r>
      <w:r>
        <w:rPr>
          <w:rFonts w:hint="eastAsia" w:ascii="宋体" w:hAnsi="宋体"/>
          <w:color w:val="000000"/>
        </w:rPr>
        <w:t>“</w:t>
      </w:r>
      <w:r>
        <w:rPr>
          <w:rFonts w:ascii="宋体" w:hAnsi="宋体"/>
          <w:color w:val="000000"/>
        </w:rPr>
        <w:t>源头减量—循环利用—过程拦截—末端治理</w:t>
      </w:r>
      <w:r>
        <w:rPr>
          <w:rFonts w:hint="eastAsia" w:ascii="宋体" w:hAnsi="宋体"/>
          <w:color w:val="000000"/>
        </w:rPr>
        <w:t>”</w:t>
      </w:r>
      <w:r>
        <w:rPr>
          <w:rFonts w:ascii="宋体" w:hAnsi="宋体"/>
          <w:color w:val="000000"/>
        </w:rPr>
        <w:t>工程，深入实施秸秆综合利用行动，打造产业化利用典型模式。持续推进农膜回收行动，健全回收网络体系，加快可降解农膜应用示范，着力解决农田“白色污染</w:t>
      </w:r>
      <w:r>
        <w:rPr>
          <w:rFonts w:hint="eastAsia" w:ascii="宋体" w:hAnsi="宋体"/>
          <w:color w:val="000000"/>
        </w:rPr>
        <w:t>”</w:t>
      </w:r>
      <w:r>
        <w:rPr>
          <w:rFonts w:ascii="宋体" w:hAnsi="宋体"/>
          <w:color w:val="000000"/>
        </w:rPr>
        <w:t>问题。在养殖业面源污染突出区域，基于土地消纳粪污能力，合理确定养殖规模，促进畜禽粪污还田利用，推动种养循环，改善土壤</w:t>
      </w:r>
      <w:r>
        <w:rPr>
          <w:rFonts w:hint="eastAsia" w:ascii="宋体" w:hAnsi="宋体"/>
          <w:color w:val="000000"/>
        </w:rPr>
        <w:t>地力。分区分类建立农业面源污染防治技术库。到2025年，全市畜禽粪污综合利用率达90%以上，秸秆综合利用率稳定在92%以上，废旧农膜回收率达到90%以上。</w:t>
      </w:r>
    </w:p>
    <w:p>
      <w:pPr>
        <w:pStyle w:val="7"/>
        <w:tabs>
          <w:tab w:val="left" w:pos="720"/>
        </w:tabs>
        <w:adjustRightInd w:val="0"/>
        <w:snapToGrid w:val="0"/>
        <w:rPr>
          <w:rFonts w:ascii="宋体" w:hAnsi="宋体"/>
          <w:color w:val="000000"/>
        </w:rPr>
      </w:pPr>
      <w:r>
        <w:rPr>
          <w:rFonts w:ascii="宋体" w:hAnsi="宋体"/>
          <w:color w:val="000000"/>
        </w:rPr>
        <w:t>6.</w:t>
      </w:r>
      <w:r>
        <w:rPr>
          <w:rFonts w:hint="eastAsia" w:ascii="宋体" w:hAnsi="宋体"/>
          <w:color w:val="000000"/>
        </w:rPr>
        <w:t>加大农村空气污染防治</w:t>
      </w:r>
    </w:p>
    <w:p>
      <w:pPr>
        <w:adjustRightInd w:val="0"/>
        <w:snapToGrid w:val="0"/>
        <w:ind w:firstLine="560"/>
        <w:rPr>
          <w:rFonts w:ascii="宋体" w:hAnsi="宋体"/>
          <w:color w:val="000000"/>
        </w:rPr>
      </w:pPr>
      <w:r>
        <w:rPr>
          <w:rFonts w:hint="eastAsia" w:ascii="宋体" w:hAnsi="宋体"/>
          <w:color w:val="000000"/>
        </w:rPr>
        <w:t>重点管控秸秆综合利用及露天焚烧、工业三废、农药化肥、垃圾粪便等对大气造成的污染，推进农村重点乡镇环境空气质量监测体系建设</w:t>
      </w:r>
      <w:r>
        <w:rPr>
          <w:rFonts w:ascii="宋体" w:hAnsi="宋体"/>
          <w:color w:val="000000"/>
        </w:rPr>
        <w:t>。</w:t>
      </w:r>
    </w:p>
    <w:p>
      <w:pPr>
        <w:pStyle w:val="6"/>
        <w:ind w:firstLine="141"/>
        <w:rPr>
          <w:rFonts w:ascii="宋体" w:hAnsi="宋体"/>
          <w:color w:val="000000"/>
        </w:rPr>
      </w:pPr>
      <w:bookmarkStart w:id="356" w:name="_Toc118566461"/>
      <w:bookmarkStart w:id="357" w:name="_Toc118566328"/>
      <w:bookmarkStart w:id="358" w:name="_Toc118566594"/>
      <w:bookmarkStart w:id="359" w:name="_Toc118566728"/>
      <w:r>
        <w:rPr>
          <w:rFonts w:hint="eastAsia" w:ascii="宋体" w:hAnsi="宋体"/>
          <w:color w:val="000000"/>
        </w:rPr>
        <w:t>（六）</w:t>
      </w:r>
      <w:r>
        <w:rPr>
          <w:rFonts w:ascii="宋体" w:hAnsi="宋体"/>
          <w:color w:val="000000"/>
        </w:rPr>
        <w:t>大力保护传统村落和乡村风貌</w:t>
      </w:r>
      <w:bookmarkEnd w:id="356"/>
      <w:bookmarkEnd w:id="357"/>
      <w:bookmarkEnd w:id="358"/>
      <w:bookmarkEnd w:id="359"/>
    </w:p>
    <w:p>
      <w:pPr>
        <w:adjustRightInd w:val="0"/>
        <w:snapToGrid w:val="0"/>
        <w:ind w:firstLine="560"/>
        <w:rPr>
          <w:rFonts w:ascii="宋体" w:hAnsi="宋体"/>
          <w:color w:val="000000"/>
        </w:rPr>
      </w:pPr>
      <w:r>
        <w:rPr>
          <w:rFonts w:hint="eastAsia" w:ascii="宋体" w:hAnsi="宋体"/>
          <w:color w:val="000000"/>
        </w:rPr>
        <w:t>加强特色文化保护传承，加强乡村环境与建筑风貌引导，以历史</w:t>
      </w:r>
      <w:r>
        <w:rPr>
          <w:rFonts w:ascii="宋体" w:hAnsi="宋体"/>
          <w:color w:val="000000"/>
        </w:rPr>
        <w:t>文化名村、传统村落、乡土特色示范村、特色风貌塑造村屯和乡村文化示范带、乡村风貌提升示范带为重点，凸显乡村美景和田园风光，带动乡村风貌全面改善。</w:t>
      </w:r>
    </w:p>
    <w:p>
      <w:pPr>
        <w:adjustRightInd w:val="0"/>
        <w:snapToGrid w:val="0"/>
        <w:ind w:firstLine="560"/>
        <w:rPr>
          <w:rFonts w:ascii="宋体" w:hAnsi="宋体"/>
          <w:color w:val="000000"/>
        </w:rPr>
      </w:pPr>
      <w:r>
        <w:rPr>
          <w:rFonts w:hint="eastAsia" w:ascii="宋体" w:hAnsi="宋体"/>
          <w:color w:val="000000"/>
        </w:rPr>
        <w:t>传承和保护传统村落。结合各地历史文化、民族文化、地域文化</w:t>
      </w:r>
      <w:r>
        <w:rPr>
          <w:rFonts w:ascii="宋体" w:hAnsi="宋体"/>
          <w:color w:val="000000"/>
        </w:rPr>
        <w:t>特色，保护一批历史文化名村、传统村落以及传统建筑构成的乡村文化示范区（带），整体提升农村建筑风貌和文化内涵，彰显文化特色。</w:t>
      </w:r>
      <w:r>
        <w:rPr>
          <w:rFonts w:hint="eastAsia" w:ascii="宋体" w:hAnsi="宋体"/>
          <w:color w:val="000000"/>
        </w:rPr>
        <w:t>加大对川北民居、少数民族特色村等传统村落和大蜀道区域、嘉陵江流域等乡村历史文化名镇和文化遗产遗迹的保护力度。</w:t>
      </w:r>
      <w:r>
        <w:rPr>
          <w:rFonts w:ascii="宋体" w:hAnsi="宋体"/>
          <w:color w:val="000000"/>
        </w:rPr>
        <w:t>完善传统村落保护长效机制，加快传统村落保护发展地方立法，加强专家技术指导服务，建立高水平的乡村工匠队伍</w:t>
      </w:r>
      <w:r>
        <w:rPr>
          <w:rFonts w:hint="eastAsia" w:ascii="宋体" w:hAnsi="宋体"/>
          <w:color w:val="000000"/>
        </w:rPr>
        <w:t>，</w:t>
      </w:r>
      <w:r>
        <w:rPr>
          <w:rFonts w:ascii="宋体" w:hAnsi="宋体"/>
          <w:color w:val="000000"/>
        </w:rPr>
        <w:t>全面完成传统村落、历史建筑、传统民居建筑的调查建档。搭建信息平台，打通农村社区、产业链企业、设计机构之间的信息屏障，加快推进保护利用工作。</w:t>
      </w:r>
    </w:p>
    <w:p>
      <w:pPr>
        <w:adjustRightInd w:val="0"/>
        <w:snapToGrid w:val="0"/>
        <w:ind w:firstLine="560"/>
        <w:rPr>
          <w:rFonts w:ascii="宋体" w:hAnsi="宋体"/>
          <w:color w:val="000000"/>
        </w:rPr>
      </w:pPr>
      <w:r>
        <w:rPr>
          <w:rFonts w:hint="eastAsia" w:ascii="宋体" w:hAnsi="宋体"/>
          <w:color w:val="000000"/>
        </w:rPr>
        <w:t>弘扬优秀乡土文化。推进传统文化保护与传承，弘扬农耕文化。</w:t>
      </w:r>
      <w:r>
        <w:rPr>
          <w:rFonts w:ascii="宋体" w:hAnsi="宋体"/>
          <w:color w:val="000000"/>
        </w:rPr>
        <w:t>开展农业文化资产普查与保护，加强重要农业文化遗产发掘、保护、传承，推进优秀农业文化遗产合理适度利用，传承乡土文化。发挥优秀乡土文化在乡村振兴中的重要作用，注重培育文明乡风、良好家风、淳朴民风，不断提高乡村社会文明程度，激活乡村振兴的文化基因。</w:t>
      </w:r>
    </w:p>
    <w:p>
      <w:pPr>
        <w:adjustRightInd w:val="0"/>
        <w:snapToGrid w:val="0"/>
        <w:ind w:firstLine="560"/>
        <w:rPr>
          <w:rFonts w:ascii="宋体" w:hAnsi="宋体"/>
          <w:color w:val="000000"/>
        </w:rPr>
      </w:pPr>
      <w:r>
        <w:rPr>
          <w:rFonts w:hint="eastAsia" w:ascii="宋体" w:hAnsi="宋体"/>
          <w:color w:val="000000"/>
        </w:rPr>
        <w:t>整体提升村容村貌。改善村庄公共环境，全面清理私搭乱建、乱堆乱放，整治残垣断壁，通过集约利用村庄内部闲置土地等方式扩大村庄公共空间。科学管控农村生产生活用火，加强农村电力线、通信线、广播电视线“三线”维护梳理，开展农村线路违规搭挂治理。健全村庄应急管理体系，合理布局应急避难场所和防汛、消防等救灾设施设备，畅通安全通道。整治农村户外广告，规范发布内容和设置行为。关注特殊人群需求，开展农村无障碍环境建设。设立村庄清洁日，以“村庄清洁助力乡村振兴”为主题大力实施村庄清洁行动，动员广大农民群众参与实施“三清两改一提升”行动，突出清理死角盲点，由“清脏”向“治乱”拓展。推行“小规模、组团式、微田园、生态化”规划建设模式，将改善院落环境和发展休闲旅游相结合，着力美化微景观、微田园、微环境，注重乡村绿化与庭院经济、经济林果相结合，鼓励各地建设一批农业公园、美丽休闲乡村、休闲农庄、特色民宿和易地扶贫搬迁集中安置后续治理示范点。</w:t>
      </w:r>
    </w:p>
    <w:p>
      <w:pPr>
        <w:pStyle w:val="6"/>
        <w:ind w:firstLine="141"/>
        <w:rPr>
          <w:rFonts w:ascii="宋体" w:hAnsi="宋体"/>
          <w:color w:val="000000"/>
        </w:rPr>
      </w:pPr>
      <w:bookmarkStart w:id="360" w:name="_Toc118566462"/>
      <w:bookmarkStart w:id="361" w:name="_Toc118566729"/>
      <w:bookmarkStart w:id="362" w:name="_Toc118566595"/>
      <w:bookmarkStart w:id="363" w:name="_Toc118566329"/>
      <w:r>
        <w:rPr>
          <w:rFonts w:hint="eastAsia" w:ascii="宋体" w:hAnsi="宋体"/>
          <w:color w:val="000000"/>
        </w:rPr>
        <w:t>（七）创新乡村治理体系</w:t>
      </w:r>
      <w:bookmarkEnd w:id="360"/>
      <w:bookmarkEnd w:id="361"/>
      <w:bookmarkEnd w:id="362"/>
      <w:bookmarkEnd w:id="363"/>
    </w:p>
    <w:p>
      <w:pPr>
        <w:pStyle w:val="7"/>
        <w:tabs>
          <w:tab w:val="left" w:pos="720"/>
        </w:tabs>
        <w:adjustRightInd w:val="0"/>
        <w:snapToGrid w:val="0"/>
        <w:rPr>
          <w:rFonts w:ascii="宋体" w:hAnsi="宋体"/>
          <w:color w:val="000000"/>
        </w:rPr>
      </w:pPr>
      <w:r>
        <w:rPr>
          <w:rFonts w:hint="eastAsia" w:ascii="宋体" w:hAnsi="宋体"/>
          <w:color w:val="000000"/>
        </w:rPr>
        <w:t>1.加强党的农村基层组织建设和乡村治理</w:t>
      </w:r>
    </w:p>
    <w:p>
      <w:pPr>
        <w:pStyle w:val="9"/>
        <w:adjustRightInd w:val="0"/>
        <w:snapToGrid w:val="0"/>
        <w:rPr>
          <w:color w:val="000000"/>
        </w:rPr>
      </w:pPr>
      <w:r>
        <w:rPr>
          <w:rFonts w:hint="eastAsia"/>
          <w:color w:val="000000"/>
        </w:rPr>
        <w:t>充分发挥农村基层党组织领导作用，持续抓党建促乡村振兴。选优配强乡镇领导班子、村“两委”成员，持续加强乡村领导班子思想政治和能力作风建设。坚持和完善向重点乡村选派驻村第一书记和工作队制度。持续整顿软弱涣散基层党组织，开展“四好”乡镇领导班子创建和先进村党组织评先定级活动，推进村委会规范化建设和村务公开“阳光工程”。开展乡村治理试点示范创建工作。完善村规民约。深入推进“六无”平安村（社区）建设，建立健全农村地区扫黑除恶常态化机制，健全乡村社会治安风险隐患信息化处置体系。加强县乡村应急管理和消防安全体系建设。</w:t>
      </w:r>
    </w:p>
    <w:p>
      <w:pPr>
        <w:pStyle w:val="7"/>
        <w:tabs>
          <w:tab w:val="left" w:pos="720"/>
        </w:tabs>
        <w:adjustRightInd w:val="0"/>
        <w:snapToGrid w:val="0"/>
        <w:rPr>
          <w:rFonts w:ascii="宋体" w:hAnsi="宋体"/>
          <w:color w:val="000000"/>
        </w:rPr>
      </w:pPr>
      <w:r>
        <w:rPr>
          <w:rFonts w:ascii="宋体" w:hAnsi="宋体"/>
          <w:color w:val="000000"/>
        </w:rPr>
        <w:t>2</w:t>
      </w:r>
      <w:r>
        <w:rPr>
          <w:rFonts w:hint="eastAsia" w:ascii="宋体" w:hAnsi="宋体"/>
          <w:color w:val="000000"/>
        </w:rPr>
        <w:t>.加强乡村社会建设</w:t>
      </w:r>
    </w:p>
    <w:p>
      <w:pPr>
        <w:pStyle w:val="9"/>
        <w:adjustRightInd w:val="0"/>
        <w:snapToGrid w:val="0"/>
        <w:rPr>
          <w:color w:val="000000"/>
        </w:rPr>
      </w:pPr>
      <w:r>
        <w:rPr>
          <w:rFonts w:hint="eastAsia"/>
          <w:color w:val="000000"/>
        </w:rPr>
        <w:t>充分发挥村党组织领导下的群众自治组织作用，鼓励农民和村集体经济组织参与乡村规划、建设、管理，自觉改善农村人居环境。鼓励村民或村集体牵头成立农村环保合作、劳务合作组织（企业）等，建立乡镇、村（社区）劳务专业合作社，提高就近就地就业组织化程度。拓展积分制应用范围，深入开展美丽庭院评选、环境卫生红黑榜、道德积分兑换等活动。广泛应用清单制，探索建立小微权利、村级事项、公共服务等各类清单，规范村组织运行。以乡情乡愁为纽带吸引个人、企业、社会团体等，通过捐资捐物、项目共建等支持乡村建设。推进“一老一小”关爱行动，提高群众幸福指数。把转变农民思想观念、推行文明健康生活方式作为农村精神文明建设重要内容。成立乡村公共卫生委员会，广泛开展爱国卫生运动，普及卫生健康和疫病防控知识，倡导文明健康、绿色环保的生活方式，引导群众树立文明健康理念。</w:t>
      </w:r>
    </w:p>
    <w:p>
      <w:pPr>
        <w:pStyle w:val="7"/>
        <w:tabs>
          <w:tab w:val="left" w:pos="720"/>
        </w:tabs>
        <w:adjustRightInd w:val="0"/>
        <w:snapToGrid w:val="0"/>
        <w:rPr>
          <w:rFonts w:ascii="宋体" w:hAnsi="宋体"/>
          <w:color w:val="000000"/>
        </w:rPr>
      </w:pPr>
      <w:r>
        <w:rPr>
          <w:rFonts w:ascii="宋体" w:hAnsi="宋体"/>
          <w:color w:val="000000"/>
        </w:rPr>
        <w:t>3</w:t>
      </w:r>
      <w:r>
        <w:rPr>
          <w:rFonts w:hint="eastAsia" w:ascii="宋体" w:hAnsi="宋体"/>
          <w:color w:val="000000"/>
        </w:rPr>
        <w:t>.加强乡村文化建设</w:t>
      </w:r>
    </w:p>
    <w:p>
      <w:pPr>
        <w:pStyle w:val="9"/>
        <w:adjustRightInd w:val="0"/>
        <w:snapToGrid w:val="0"/>
        <w:rPr>
          <w:color w:val="000000"/>
        </w:rPr>
      </w:pPr>
      <w:r>
        <w:rPr>
          <w:rFonts w:hint="eastAsia"/>
          <w:color w:val="000000"/>
        </w:rPr>
        <w:t>实施乡镇公共文化服务提质增效工程，打造一批乡镇文化综合体和现代农村公共文化服务共享空间。实施乡村文化振兴“百千万”工程，建设一批乡村文化振兴样板乡镇、村，持续开展魅力乡镇竞演、美丽乡村文艺“走亲”等系列群众性文化活动。实施供给质量提升、数字文化建设行动，加大流动文化、数字文化供给，实施“互联网+公共文化服务”计划，推进公共数字文化、智慧广电公共服务平台建设。实施优秀传统文化传承保护工程，加强传统村落保护传承，开展乡村文脉保护传承、最美古镇古村落和非遗特色镇村、街区创建行动，实施农耕文化传承保护工程、中心镇文化记忆工程，打造一批民俗展览馆、博物馆和非物质文化遗产传习所等文化保护示范基地，因地制宜、因陋就简建立一批乡史、村史馆，重点抓好大蜀道博物馆、中子铺遗址博物馆、广元中国西部恐龙园等一批重点项目建设工作，加强“民间文化艺术之乡”建设管理。抓好县级融媒体中心和新时代文明实践中心建设。推动党报党刊、主旋律电影、川剧等进农村，以文明新风积分制度和农村知客宣讲为抓手，广泛开展移风易俗推进行动，推进乡风文明建设。</w:t>
      </w:r>
    </w:p>
    <w:p>
      <w:pPr>
        <w:pStyle w:val="7"/>
        <w:tabs>
          <w:tab w:val="left" w:pos="720"/>
        </w:tabs>
        <w:adjustRightInd w:val="0"/>
        <w:snapToGrid w:val="0"/>
        <w:rPr>
          <w:rFonts w:ascii="宋体" w:hAnsi="宋体"/>
          <w:color w:val="000000"/>
        </w:rPr>
      </w:pPr>
      <w:r>
        <w:rPr>
          <w:rFonts w:ascii="宋体" w:hAnsi="宋体"/>
          <w:color w:val="000000"/>
        </w:rPr>
        <w:t>4</w:t>
      </w:r>
      <w:r>
        <w:rPr>
          <w:rFonts w:hint="eastAsia" w:ascii="宋体" w:hAnsi="宋体"/>
          <w:color w:val="000000"/>
        </w:rPr>
        <w:t>.加强人才队伍建设</w:t>
      </w:r>
    </w:p>
    <w:p>
      <w:pPr>
        <w:pStyle w:val="9"/>
        <w:adjustRightInd w:val="0"/>
        <w:snapToGrid w:val="0"/>
        <w:rPr>
          <w:color w:val="000000"/>
          <w:spacing w:val="-6"/>
          <w:lang/>
        </w:rPr>
      </w:pPr>
      <w:r>
        <w:rPr>
          <w:rFonts w:hint="eastAsia"/>
          <w:color w:val="000000"/>
        </w:rPr>
        <w:t>统筹乡村建设人才需求，每年拿出10%左右的公务员招录计划用于选调优秀大学毕业生到县乡工作，每年统一组织各县区引进急需紧缺高层次人才，支持县区自主实施“人才回引计划”，对接实施“三支一扶”、大学生志愿服务西部计划等高校毕业生基层服务项目，持续补充乡村规划、建设、管理等领域高学历人才。推行“特聘专家”柔性引才模式，开展“蜀道英才五进”活动，实施“归巢创业”行动，引导支持专家教授、科技特派员、规划师、建筑师、企业家等各类人才投身乡村建设。实施乡村工匠培育计划，建立健全选拔、培养、使用、评价和激励机制，打造一支懂技术、会施</w:t>
      </w:r>
      <w:r>
        <w:rPr>
          <w:rFonts w:hint="eastAsia"/>
          <w:color w:val="000000"/>
          <w:lang/>
        </w:rPr>
        <w:t>工、善管理的复合型乡村工匠人才队伍。实施“乡村振兴巾帼行动”，培养乡村创业女能人。通过乡村一体化，加强乡村卫生人才支撑，落实乡村医生养老保障补助机制，保障每个村卫生室有一名合格村医。加强宜居乡村建设领域职业教育，加强专业干部和技术人员培训，继续选派规划师、建筑师、“金融助理”等专业技术人员驻村指</w:t>
      </w:r>
      <w:r>
        <w:rPr>
          <w:rFonts w:hint="eastAsia"/>
          <w:color w:val="000000"/>
          <w:spacing w:val="-6"/>
          <w:lang/>
        </w:rPr>
        <w:t>导。</w:t>
      </w:r>
    </w:p>
    <w:tbl>
      <w:tblPr>
        <w:tblStyle w:val="18"/>
        <w:tblW w:w="8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ind w:firstLine="0" w:firstLineChars="0"/>
              <w:jc w:val="center"/>
              <w:rPr>
                <w:rFonts w:ascii="宋体" w:hAnsi="宋体"/>
                <w:color w:val="000000"/>
                <w:sz w:val="24"/>
              </w:rPr>
            </w:pPr>
            <w:r>
              <w:rPr>
                <w:rFonts w:hint="eastAsia" w:ascii="宋体" w:hAnsi="宋体"/>
                <w:color w:val="000000"/>
                <w:sz w:val="24"/>
              </w:rPr>
              <w:t>专栏</w:t>
            </w:r>
            <w:r>
              <w:rPr>
                <w:rFonts w:ascii="宋体" w:hAnsi="宋体"/>
                <w:color w:val="000000"/>
                <w:sz w:val="24"/>
              </w:rPr>
              <w:t>4-3</w:t>
            </w:r>
            <w:r>
              <w:rPr>
                <w:rFonts w:hint="eastAsia" w:ascii="宋体" w:hAnsi="宋体"/>
                <w:color w:val="000000"/>
                <w:sz w:val="24"/>
              </w:rPr>
              <w:t>乡村人居</w:t>
            </w:r>
            <w:r>
              <w:rPr>
                <w:rFonts w:ascii="宋体" w:hAnsi="宋体"/>
                <w:color w:val="000000"/>
                <w:sz w:val="24"/>
              </w:rPr>
              <w:t>环境提升专项行动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adjustRightInd w:val="0"/>
              <w:snapToGrid w:val="0"/>
              <w:ind w:firstLine="0" w:firstLineChars="0"/>
              <w:jc w:val="left"/>
              <w:rPr>
                <w:rFonts w:ascii="宋体" w:hAnsi="宋体"/>
                <w:color w:val="000000"/>
                <w:sz w:val="22"/>
              </w:rPr>
            </w:pPr>
            <w:r>
              <w:rPr>
                <w:rFonts w:hint="eastAsia" w:ascii="宋体" w:hAnsi="宋体"/>
                <w:b/>
                <w:color w:val="000000"/>
                <w:sz w:val="22"/>
              </w:rPr>
              <w:t>1.</w:t>
            </w:r>
            <w:r>
              <w:rPr>
                <w:rFonts w:ascii="宋体" w:hAnsi="宋体"/>
                <w:b/>
                <w:color w:val="000000"/>
                <w:sz w:val="22"/>
              </w:rPr>
              <w:t>乡村公共文化服务保障工程</w:t>
            </w:r>
            <w:r>
              <w:rPr>
                <w:rFonts w:hint="eastAsia" w:ascii="宋体" w:hAnsi="宋体"/>
                <w:b/>
                <w:color w:val="000000"/>
                <w:sz w:val="22"/>
              </w:rPr>
              <w:t>。</w:t>
            </w:r>
            <w:r>
              <w:rPr>
                <w:rFonts w:hint="eastAsia" w:ascii="宋体" w:hAnsi="宋体"/>
                <w:color w:val="000000"/>
                <w:sz w:val="22"/>
              </w:rPr>
              <w:t>加大对村级文化设施建设的支持力度，实现村级综合文化服务中心全覆盖。对乡镇综合文化站和村文化室进行设施设备更新换代等提档升级工程，建设农村广播电视公共服务网点，在公共文化服务空白区建设数字文化驿站。将县级公共图书馆、文化共享工程乡镇基层服务点纳入公共数字文化建设项目。</w:t>
            </w:r>
          </w:p>
          <w:p>
            <w:pPr>
              <w:adjustRightInd w:val="0"/>
              <w:snapToGrid w:val="0"/>
              <w:ind w:firstLine="0" w:firstLineChars="0"/>
              <w:jc w:val="left"/>
              <w:rPr>
                <w:rFonts w:ascii="宋体" w:hAnsi="宋体"/>
                <w:color w:val="000000"/>
                <w:sz w:val="22"/>
              </w:rPr>
            </w:pPr>
            <w:r>
              <w:rPr>
                <w:rFonts w:ascii="宋体" w:hAnsi="宋体"/>
                <w:b/>
                <w:color w:val="000000"/>
                <w:sz w:val="22"/>
              </w:rPr>
              <w:t>2</w:t>
            </w:r>
            <w:r>
              <w:rPr>
                <w:rFonts w:hint="eastAsia" w:ascii="宋体" w:hAnsi="宋体"/>
                <w:b/>
                <w:color w:val="000000"/>
                <w:sz w:val="22"/>
              </w:rPr>
              <w:t>.乡</w:t>
            </w:r>
            <w:r>
              <w:rPr>
                <w:rFonts w:ascii="宋体" w:hAnsi="宋体"/>
                <w:b/>
                <w:color w:val="000000"/>
                <w:sz w:val="22"/>
              </w:rPr>
              <w:t>村养老设施建设工程。</w:t>
            </w:r>
            <w:r>
              <w:rPr>
                <w:rFonts w:ascii="宋体" w:hAnsi="宋体"/>
                <w:color w:val="000000"/>
                <w:sz w:val="22"/>
              </w:rPr>
              <w:t>支持每个涉农县建设2个农村区域养老服务中心，其他养老设施立足基本生活保障和照料需求，重点对房屋建筑及设施按照功能性质合理分区并进行适老化改造。</w:t>
            </w:r>
          </w:p>
          <w:p>
            <w:pPr>
              <w:adjustRightInd w:val="0"/>
              <w:snapToGrid w:val="0"/>
              <w:ind w:firstLine="0" w:firstLineChars="0"/>
              <w:jc w:val="left"/>
              <w:rPr>
                <w:rFonts w:ascii="宋体" w:hAnsi="宋体"/>
                <w:color w:val="000000"/>
                <w:sz w:val="22"/>
              </w:rPr>
            </w:pPr>
            <w:r>
              <w:rPr>
                <w:rFonts w:ascii="宋体" w:hAnsi="宋体"/>
                <w:b/>
                <w:color w:val="000000"/>
                <w:sz w:val="22"/>
              </w:rPr>
              <w:t>3</w:t>
            </w:r>
            <w:r>
              <w:rPr>
                <w:rFonts w:hint="eastAsia" w:ascii="宋体" w:hAnsi="宋体"/>
                <w:b/>
                <w:color w:val="000000"/>
                <w:sz w:val="22"/>
              </w:rPr>
              <w:t>.乡</w:t>
            </w:r>
            <w:r>
              <w:rPr>
                <w:rFonts w:ascii="宋体" w:hAnsi="宋体"/>
                <w:b/>
                <w:color w:val="000000"/>
                <w:sz w:val="22"/>
              </w:rPr>
              <w:t>村全民健身场地设施建设工程。</w:t>
            </w:r>
            <w:r>
              <w:rPr>
                <w:rFonts w:ascii="宋体" w:hAnsi="宋体"/>
                <w:color w:val="000000"/>
                <w:sz w:val="22"/>
              </w:rPr>
              <w:t>对尚无健身设施的行政村，参照《城市居住区规划设计标准》关于健身设施的规划建设标准，配置篮球架、乒乓球台、室外健身器材等设施。</w:t>
            </w:r>
          </w:p>
          <w:p>
            <w:pPr>
              <w:adjustRightInd w:val="0"/>
              <w:snapToGrid w:val="0"/>
              <w:ind w:firstLine="0" w:firstLineChars="0"/>
              <w:jc w:val="left"/>
              <w:rPr>
                <w:rFonts w:ascii="宋体" w:hAnsi="宋体"/>
                <w:color w:val="000000"/>
                <w:sz w:val="22"/>
              </w:rPr>
            </w:pPr>
            <w:r>
              <w:rPr>
                <w:rFonts w:ascii="宋体" w:hAnsi="宋体"/>
                <w:b/>
                <w:color w:val="000000"/>
                <w:sz w:val="22"/>
              </w:rPr>
              <w:t>4</w:t>
            </w:r>
            <w:r>
              <w:rPr>
                <w:rFonts w:hint="eastAsia" w:ascii="宋体" w:hAnsi="宋体"/>
                <w:b/>
                <w:color w:val="000000"/>
                <w:sz w:val="22"/>
              </w:rPr>
              <w:t>.</w:t>
            </w:r>
            <w:r>
              <w:rPr>
                <w:rFonts w:ascii="宋体" w:hAnsi="宋体"/>
                <w:b/>
                <w:color w:val="000000"/>
                <w:sz w:val="22"/>
              </w:rPr>
              <w:t>农村道路公路畅通工程</w:t>
            </w:r>
            <w:r>
              <w:rPr>
                <w:rFonts w:hint="eastAsia" w:ascii="宋体" w:hAnsi="宋体"/>
                <w:b/>
                <w:color w:val="000000"/>
                <w:sz w:val="22"/>
              </w:rPr>
              <w:t>。</w:t>
            </w:r>
            <w:r>
              <w:rPr>
                <w:rFonts w:hint="eastAsia" w:ascii="宋体" w:hAnsi="宋体"/>
                <w:color w:val="000000"/>
                <w:sz w:val="22"/>
              </w:rPr>
              <w:t>畅通农村道路，实施撤并建制村畅通和产业路旅游路等工程，完善农村公路路网结构，因地制宜推进具备条件自然村（组）通硬化路，完善农村公路安全生命防护工程。</w:t>
            </w:r>
          </w:p>
          <w:p>
            <w:pPr>
              <w:adjustRightInd w:val="0"/>
              <w:snapToGrid w:val="0"/>
              <w:ind w:firstLine="0" w:firstLineChars="0"/>
              <w:jc w:val="left"/>
              <w:rPr>
                <w:rFonts w:ascii="宋体" w:hAnsi="宋体"/>
                <w:color w:val="000000"/>
                <w:sz w:val="22"/>
              </w:rPr>
            </w:pPr>
            <w:r>
              <w:rPr>
                <w:rFonts w:ascii="宋体" w:hAnsi="宋体"/>
                <w:b/>
                <w:color w:val="000000"/>
                <w:sz w:val="22"/>
              </w:rPr>
              <w:t>5</w:t>
            </w:r>
            <w:r>
              <w:rPr>
                <w:rFonts w:hint="eastAsia" w:ascii="宋体" w:hAnsi="宋体"/>
                <w:b/>
                <w:color w:val="000000"/>
                <w:sz w:val="22"/>
              </w:rPr>
              <w:t>.</w:t>
            </w:r>
            <w:r>
              <w:rPr>
                <w:rFonts w:ascii="宋体" w:hAnsi="宋体"/>
                <w:b/>
                <w:color w:val="000000"/>
                <w:sz w:val="22"/>
              </w:rPr>
              <w:t>农村供水保障工程。</w:t>
            </w:r>
            <w:r>
              <w:rPr>
                <w:rFonts w:ascii="宋体" w:hAnsi="宋体"/>
                <w:color w:val="000000"/>
                <w:sz w:val="22"/>
              </w:rPr>
              <w:t>以稳定水源为主线，有条件的地区采取城镇供水管网延伸或者建设联片供水工程等方式发展规模化集中供水，条件一般的地区实施工程达标改造，条件薄弱的地区在强化维修养护的前提下，实施小型工程规范化建设与改造。</w:t>
            </w:r>
            <w:r>
              <w:rPr>
                <w:rFonts w:hint="eastAsia" w:ascii="宋体" w:hAnsi="宋体"/>
                <w:color w:val="000000"/>
                <w:sz w:val="22"/>
              </w:rPr>
              <w:t>到2025年，农村自来水普及率达到91.2%以上，水质合格率稳步提高。</w:t>
            </w:r>
          </w:p>
          <w:p>
            <w:pPr>
              <w:adjustRightInd w:val="0"/>
              <w:snapToGrid w:val="0"/>
              <w:ind w:firstLine="0" w:firstLineChars="0"/>
              <w:jc w:val="left"/>
              <w:rPr>
                <w:rFonts w:ascii="宋体" w:hAnsi="宋体"/>
                <w:color w:val="000000"/>
                <w:sz w:val="22"/>
              </w:rPr>
            </w:pPr>
            <w:r>
              <w:rPr>
                <w:rFonts w:ascii="宋体" w:hAnsi="宋体"/>
                <w:b/>
                <w:color w:val="000000"/>
                <w:sz w:val="22"/>
              </w:rPr>
              <w:t>6</w:t>
            </w:r>
            <w:r>
              <w:rPr>
                <w:rFonts w:hint="eastAsia" w:ascii="宋体" w:hAnsi="宋体"/>
                <w:b/>
                <w:color w:val="000000"/>
                <w:sz w:val="22"/>
              </w:rPr>
              <w:t>.</w:t>
            </w:r>
            <w:r>
              <w:rPr>
                <w:rFonts w:ascii="宋体" w:hAnsi="宋体"/>
                <w:b/>
                <w:color w:val="000000"/>
                <w:sz w:val="22"/>
              </w:rPr>
              <w:t>农村电网巩固提升工程</w:t>
            </w:r>
            <w:r>
              <w:rPr>
                <w:rFonts w:hint="eastAsia" w:ascii="宋体" w:hAnsi="宋体"/>
                <w:b/>
                <w:color w:val="000000"/>
                <w:sz w:val="22"/>
              </w:rPr>
              <w:t>。</w:t>
            </w:r>
            <w:r>
              <w:rPr>
                <w:rFonts w:hint="eastAsia" w:ascii="宋体" w:hAnsi="宋体"/>
                <w:color w:val="000000"/>
                <w:sz w:val="22"/>
              </w:rPr>
              <w:t>推进全市</w:t>
            </w:r>
            <w:r>
              <w:rPr>
                <w:rFonts w:ascii="宋体" w:hAnsi="宋体"/>
                <w:color w:val="000000"/>
                <w:sz w:val="22"/>
              </w:rPr>
              <w:t>28个乡镇39项电网改造升级工程，新建和改造配电变压器169台、10千伏线路75公里，低压线路524公里，改造户表1000户。</w:t>
            </w:r>
          </w:p>
          <w:p>
            <w:pPr>
              <w:adjustRightInd w:val="0"/>
              <w:snapToGrid w:val="0"/>
              <w:ind w:firstLine="0" w:firstLineChars="0"/>
              <w:jc w:val="left"/>
              <w:rPr>
                <w:rFonts w:ascii="宋体" w:hAnsi="宋体"/>
                <w:color w:val="000000"/>
                <w:sz w:val="22"/>
              </w:rPr>
            </w:pPr>
            <w:r>
              <w:rPr>
                <w:rFonts w:ascii="宋体" w:hAnsi="宋体"/>
                <w:b/>
                <w:color w:val="000000"/>
                <w:sz w:val="22"/>
              </w:rPr>
              <w:t>7</w:t>
            </w:r>
            <w:r>
              <w:rPr>
                <w:rFonts w:hint="eastAsia" w:ascii="宋体" w:hAnsi="宋体"/>
                <w:b/>
                <w:color w:val="000000"/>
                <w:sz w:val="22"/>
              </w:rPr>
              <w:t>.</w:t>
            </w:r>
            <w:r>
              <w:rPr>
                <w:rFonts w:ascii="宋体" w:hAnsi="宋体"/>
                <w:b/>
                <w:color w:val="000000"/>
                <w:sz w:val="22"/>
              </w:rPr>
              <w:t>农村燃气建设工程。</w:t>
            </w:r>
            <w:r>
              <w:rPr>
                <w:rFonts w:ascii="宋体" w:hAnsi="宋体"/>
                <w:color w:val="000000"/>
                <w:sz w:val="22"/>
              </w:rPr>
              <w:t>采用管道供气、供气厂(站)供气、液化天然气、液化石油气储配站等多种方式，逐步扩大使用燃气作为主要能源的农户比例。对城区主管网不能覆盖的集中连片村庄，以乡镇为中心采用液化气储罐或瓶组气化的方式进行管道供气；对人口较少且分散居住的村庄，推广气瓶组气化方式进行局域独立管道供气；对县城主管网能延伸覆盖的村庄，可实现城乡一体化供气。</w:t>
            </w:r>
          </w:p>
          <w:p>
            <w:pPr>
              <w:adjustRightInd w:val="0"/>
              <w:snapToGrid w:val="0"/>
              <w:ind w:firstLine="0" w:firstLineChars="0"/>
              <w:jc w:val="left"/>
              <w:rPr>
                <w:rFonts w:ascii="宋体" w:hAnsi="宋体"/>
                <w:sz w:val="22"/>
              </w:rPr>
            </w:pPr>
            <w:r>
              <w:rPr>
                <w:rFonts w:ascii="宋体" w:hAnsi="宋体"/>
                <w:b/>
                <w:sz w:val="22"/>
              </w:rPr>
              <w:t>8</w:t>
            </w:r>
            <w:r>
              <w:rPr>
                <w:rFonts w:hint="eastAsia" w:ascii="宋体" w:hAnsi="宋体"/>
                <w:b/>
                <w:sz w:val="22"/>
              </w:rPr>
              <w:t>.</w:t>
            </w:r>
            <w:r>
              <w:rPr>
                <w:rFonts w:ascii="宋体" w:hAnsi="宋体"/>
                <w:b/>
                <w:sz w:val="22"/>
              </w:rPr>
              <w:t>农村生活污水治理工程。</w:t>
            </w:r>
            <w:r>
              <w:rPr>
                <w:rFonts w:ascii="宋体" w:hAnsi="宋体"/>
                <w:sz w:val="22"/>
              </w:rPr>
              <w:t>持续开展农村生活污水“千村示范工程”建设，因地制宜选择污水治理模式，到2025年底，力争75%以上的行政村生活污水得到有效治理。</w:t>
            </w:r>
          </w:p>
          <w:p>
            <w:pPr>
              <w:adjustRightInd w:val="0"/>
              <w:snapToGrid w:val="0"/>
              <w:ind w:firstLine="0" w:firstLineChars="0"/>
              <w:jc w:val="left"/>
              <w:rPr>
                <w:rFonts w:hint="eastAsia" w:ascii="宋体" w:hAnsi="宋体"/>
                <w:sz w:val="22"/>
              </w:rPr>
            </w:pPr>
            <w:r>
              <w:rPr>
                <w:rFonts w:ascii="宋体" w:hAnsi="宋体"/>
                <w:b/>
                <w:sz w:val="22"/>
              </w:rPr>
              <w:t>9</w:t>
            </w:r>
            <w:r>
              <w:rPr>
                <w:rFonts w:hint="eastAsia" w:ascii="宋体" w:hAnsi="宋体"/>
                <w:b/>
                <w:sz w:val="22"/>
              </w:rPr>
              <w:t>.</w:t>
            </w:r>
            <w:r>
              <w:rPr>
                <w:rFonts w:ascii="宋体" w:hAnsi="宋体"/>
                <w:b/>
                <w:sz w:val="22"/>
              </w:rPr>
              <w:t>农村生活垃圾治理行动。</w:t>
            </w:r>
            <w:r>
              <w:rPr>
                <w:rFonts w:hint="eastAsia" w:ascii="宋体" w:hAnsi="宋体"/>
                <w:sz w:val="22"/>
              </w:rPr>
              <w:t>因地制宜选择垃圾治理模式，合理规划和布局垃圾收运设施，到2025年实现行政村生活垃圾收运处置体系覆盖率达100%。</w:t>
            </w:r>
          </w:p>
          <w:p>
            <w:pPr>
              <w:adjustRightInd w:val="0"/>
              <w:snapToGrid w:val="0"/>
              <w:ind w:firstLine="0" w:firstLineChars="0"/>
              <w:jc w:val="left"/>
              <w:rPr>
                <w:rFonts w:hint="eastAsia" w:ascii="宋体" w:hAnsi="宋体"/>
                <w:sz w:val="22"/>
              </w:rPr>
            </w:pPr>
            <w:r>
              <w:rPr>
                <w:rFonts w:ascii="宋体" w:hAnsi="宋体"/>
                <w:b/>
                <w:sz w:val="22"/>
              </w:rPr>
              <w:t>10</w:t>
            </w:r>
            <w:r>
              <w:rPr>
                <w:rFonts w:hint="eastAsia" w:ascii="宋体" w:hAnsi="宋体"/>
                <w:b/>
                <w:sz w:val="22"/>
              </w:rPr>
              <w:t>.实施农村“厕所革命”提升行动。</w:t>
            </w:r>
            <w:r>
              <w:rPr>
                <w:rFonts w:hint="eastAsia" w:ascii="宋体" w:hAnsi="宋体"/>
                <w:sz w:val="22"/>
              </w:rPr>
              <w:t>因地制宜选择改厕技术，严格执行农村改厕标准，加大专业技术队伍培训，持续推进农村“厕所革命”整村推进示范村建设项目。到 2025 年，全市农村卫生厕所普及率达到95%。</w:t>
            </w:r>
          </w:p>
          <w:p>
            <w:pPr>
              <w:adjustRightInd w:val="0"/>
              <w:snapToGrid w:val="0"/>
              <w:ind w:firstLine="0" w:firstLineChars="0"/>
              <w:jc w:val="left"/>
              <w:rPr>
                <w:rFonts w:ascii="宋体" w:hAnsi="宋体"/>
                <w:color w:val="000000"/>
                <w:sz w:val="22"/>
              </w:rPr>
            </w:pPr>
            <w:r>
              <w:rPr>
                <w:rFonts w:ascii="宋体" w:hAnsi="宋体"/>
                <w:b/>
                <w:color w:val="000000"/>
                <w:sz w:val="22"/>
              </w:rPr>
              <w:t>11</w:t>
            </w:r>
            <w:r>
              <w:rPr>
                <w:rFonts w:hint="eastAsia" w:ascii="宋体" w:hAnsi="宋体"/>
                <w:b/>
                <w:color w:val="000000"/>
                <w:sz w:val="22"/>
              </w:rPr>
              <w:t>.</w:t>
            </w:r>
            <w:r>
              <w:rPr>
                <w:rFonts w:ascii="宋体" w:hAnsi="宋体"/>
                <w:b/>
                <w:color w:val="000000"/>
                <w:sz w:val="22"/>
              </w:rPr>
              <w:t>乡村农房风貌提升工程。</w:t>
            </w:r>
            <w:r>
              <w:rPr>
                <w:rFonts w:ascii="宋体" w:hAnsi="宋体"/>
                <w:color w:val="000000"/>
                <w:sz w:val="22"/>
              </w:rPr>
              <w:t>以“去危房、整旧房、治违房”为主要内容，重点优化平面布局、功能用房设施以及外观整饰，以较少的资金在较短的时间内，提高村民住宅建设品位，彻底改变过去村庄建设中的只见新房、不见新貌的普遍现象，并进一步强化乡村风貌特色。到2025年，基本完成各乡镇农房风貌整治工作。</w:t>
            </w:r>
          </w:p>
          <w:p>
            <w:pPr>
              <w:adjustRightInd w:val="0"/>
              <w:snapToGrid w:val="0"/>
              <w:ind w:firstLine="0" w:firstLineChars="0"/>
              <w:jc w:val="left"/>
              <w:rPr>
                <w:rFonts w:ascii="宋体" w:hAnsi="宋体"/>
                <w:color w:val="000000"/>
                <w:sz w:val="22"/>
              </w:rPr>
            </w:pPr>
            <w:r>
              <w:rPr>
                <w:rFonts w:ascii="宋体" w:hAnsi="宋体"/>
                <w:b/>
                <w:color w:val="000000"/>
                <w:sz w:val="22"/>
              </w:rPr>
              <w:t>12</w:t>
            </w:r>
            <w:r>
              <w:rPr>
                <w:rFonts w:hint="eastAsia" w:ascii="宋体" w:hAnsi="宋体"/>
                <w:b/>
                <w:color w:val="000000"/>
                <w:sz w:val="22"/>
              </w:rPr>
              <w:t>.</w:t>
            </w:r>
            <w:r>
              <w:rPr>
                <w:rFonts w:ascii="宋体" w:hAnsi="宋体"/>
                <w:b/>
                <w:color w:val="000000"/>
                <w:sz w:val="22"/>
              </w:rPr>
              <w:t>传统村落和传统民居保护工程。</w:t>
            </w:r>
            <w:r>
              <w:rPr>
                <w:rFonts w:ascii="宋体" w:hAnsi="宋体"/>
                <w:color w:val="000000"/>
                <w:sz w:val="22"/>
              </w:rPr>
              <w:t>开展濒危传统村落保护专项工程。建设一批传统村落保护、传承、利用示范项目。全面建立挂牌保护制度，到2025年完成有重要保护价值的传统民居的挂牌保护。</w:t>
            </w:r>
          </w:p>
        </w:tc>
      </w:tr>
    </w:tbl>
    <w:p>
      <w:pPr>
        <w:pStyle w:val="4"/>
        <w:rPr>
          <w:rFonts w:ascii="宋体" w:hAnsi="宋体"/>
          <w:color w:val="000000"/>
        </w:rPr>
      </w:pPr>
      <w:bookmarkStart w:id="364" w:name="_Toc118566330"/>
      <w:bookmarkStart w:id="365" w:name="_Toc118566596"/>
      <w:bookmarkStart w:id="366" w:name="_Toc118566730"/>
      <w:bookmarkStart w:id="367" w:name="_Toc118566463"/>
      <w:bookmarkStart w:id="368" w:name="_Toc119916752"/>
      <w:r>
        <w:rPr>
          <w:rFonts w:hint="eastAsia" w:ascii="宋体" w:hAnsi="宋体"/>
          <w:color w:val="000000"/>
        </w:rPr>
        <w:t>第五章</w:t>
      </w:r>
      <w:bookmarkEnd w:id="364"/>
      <w:bookmarkEnd w:id="365"/>
      <w:bookmarkEnd w:id="366"/>
      <w:bookmarkEnd w:id="367"/>
      <w:r>
        <w:rPr>
          <w:rFonts w:hint="eastAsia" w:ascii="宋体" w:hAnsi="宋体"/>
          <w:color w:val="000000"/>
        </w:rPr>
        <w:t xml:space="preserve"> 推动智能建造和绿色建筑</w:t>
      </w:r>
      <w:bookmarkEnd w:id="368"/>
    </w:p>
    <w:p>
      <w:pPr>
        <w:adjustRightInd w:val="0"/>
        <w:snapToGrid w:val="0"/>
        <w:ind w:firstLine="560"/>
        <w:rPr>
          <w:color w:val="000000"/>
        </w:rPr>
      </w:pPr>
      <w:bookmarkStart w:id="369" w:name="_Toc118566474"/>
      <w:bookmarkStart w:id="370" w:name="_Toc118566341"/>
      <w:bookmarkStart w:id="371" w:name="_Toc118566607"/>
      <w:bookmarkStart w:id="372" w:name="_Toc118566741"/>
      <w:r>
        <w:rPr>
          <w:rFonts w:hint="eastAsia"/>
          <w:color w:val="000000"/>
        </w:rPr>
        <w:t>“十四五”时期，新基建是建筑业发展新动能，绿色建造将是建筑业高质量发展的起点和归宿，技术创新则是引领建筑业高质量发展的第一动力。结合《关于推动四川建筑业高质量发展的实施意见》加快转变工程建设组织实施方式，大力实施绿色建造、数字建造和装配式建造，提高企业核心竞争力和创新能力。到</w:t>
      </w:r>
      <w:r>
        <w:rPr>
          <w:color w:val="000000"/>
        </w:rPr>
        <w:t>2025年，全市建筑业增加值占地区生产总值比重维持在10%以上；建筑业企业实力明显增强</w:t>
      </w:r>
      <w:r>
        <w:rPr>
          <w:rFonts w:hint="eastAsia"/>
          <w:color w:val="000000"/>
        </w:rPr>
        <w:t>，</w:t>
      </w:r>
      <w:r>
        <w:rPr>
          <w:color w:val="000000"/>
        </w:rPr>
        <w:t>力争实现特级企业零的突破，一级资质企业达到15家</w:t>
      </w:r>
      <w:r>
        <w:rPr>
          <w:rFonts w:hint="eastAsia"/>
          <w:color w:val="000000"/>
        </w:rPr>
        <w:t>，</w:t>
      </w:r>
      <w:r>
        <w:rPr>
          <w:color w:val="000000"/>
        </w:rPr>
        <w:t>二级资质企业达到150家；装配式建筑占新建建筑比例达到30%；绿色建筑和节能建筑成为建筑业主导。</w:t>
      </w:r>
    </w:p>
    <w:p>
      <w:pPr>
        <w:pStyle w:val="5"/>
        <w:numPr>
          <w:numId w:val="0"/>
        </w:numPr>
        <w:spacing w:before="190"/>
        <w:jc w:val="both"/>
        <w:rPr>
          <w:color w:val="000000"/>
        </w:rPr>
      </w:pPr>
      <w:bookmarkStart w:id="373" w:name="_Toc118628778"/>
      <w:bookmarkStart w:id="374" w:name="_Toc118566597"/>
      <w:bookmarkStart w:id="375" w:name="_Toc118566731"/>
      <w:bookmarkStart w:id="376" w:name="_Toc119916753"/>
      <w:bookmarkStart w:id="377" w:name="_Toc118566331"/>
      <w:bookmarkStart w:id="378" w:name="_Toc118566464"/>
      <w:r>
        <w:rPr>
          <w:rFonts w:hint="eastAsia"/>
          <w:color w:val="000000"/>
        </w:rPr>
        <w:t>一、</w:t>
      </w:r>
      <w:r>
        <w:rPr>
          <w:color w:val="000000"/>
        </w:rPr>
        <w:t>构建现代建筑产业体系</w:t>
      </w:r>
      <w:bookmarkEnd w:id="373"/>
      <w:bookmarkEnd w:id="374"/>
      <w:bookmarkEnd w:id="375"/>
      <w:bookmarkEnd w:id="376"/>
      <w:bookmarkEnd w:id="377"/>
      <w:bookmarkEnd w:id="378"/>
    </w:p>
    <w:p>
      <w:pPr>
        <w:pStyle w:val="6"/>
        <w:ind w:firstLine="141"/>
        <w:rPr>
          <w:rFonts w:ascii="宋体" w:hAnsi="宋体"/>
          <w:color w:val="000000"/>
        </w:rPr>
      </w:pPr>
      <w:bookmarkStart w:id="379" w:name="_Toc118566332"/>
      <w:bookmarkStart w:id="380" w:name="_Toc118566732"/>
      <w:bookmarkStart w:id="381" w:name="_Toc118566598"/>
      <w:bookmarkStart w:id="382" w:name="_Toc118566465"/>
      <w:r>
        <w:rPr>
          <w:rFonts w:hint="eastAsia" w:ascii="宋体" w:hAnsi="宋体"/>
          <w:color w:val="000000"/>
        </w:rPr>
        <w:t>（</w:t>
      </w:r>
      <w:r>
        <w:rPr>
          <w:rFonts w:ascii="宋体" w:hAnsi="宋体"/>
          <w:color w:val="000000"/>
        </w:rPr>
        <w:t>一）加强产业培育，加快完善产业链条</w:t>
      </w:r>
      <w:bookmarkEnd w:id="379"/>
      <w:bookmarkEnd w:id="380"/>
      <w:bookmarkEnd w:id="381"/>
      <w:bookmarkEnd w:id="382"/>
    </w:p>
    <w:p>
      <w:pPr>
        <w:adjustRightInd w:val="0"/>
        <w:snapToGrid w:val="0"/>
        <w:ind w:firstLine="560"/>
        <w:rPr>
          <w:color w:val="000000"/>
        </w:rPr>
      </w:pPr>
      <w:r>
        <w:rPr>
          <w:rFonts w:hint="eastAsia"/>
          <w:color w:val="000000"/>
        </w:rPr>
        <w:t>科学合理布局产业基地，培育现代建筑产业，全力构建名企汇集、上下贯通、集约集聚的现代建筑全产业链，加快培育形成上下游产业配套、工地工厂协同的产业集群。</w:t>
      </w:r>
    </w:p>
    <w:p>
      <w:pPr>
        <w:pStyle w:val="6"/>
        <w:ind w:firstLine="141"/>
        <w:rPr>
          <w:rFonts w:ascii="宋体" w:hAnsi="宋体"/>
          <w:color w:val="000000"/>
        </w:rPr>
      </w:pPr>
      <w:bookmarkStart w:id="383" w:name="_Toc118566333"/>
      <w:bookmarkStart w:id="384" w:name="_Toc118566466"/>
      <w:bookmarkStart w:id="385" w:name="_Toc118566733"/>
      <w:bookmarkStart w:id="386" w:name="_Toc118566599"/>
      <w:r>
        <w:rPr>
          <w:rFonts w:hint="eastAsia" w:ascii="宋体" w:hAnsi="宋体"/>
          <w:color w:val="000000"/>
        </w:rPr>
        <w:t>（</w:t>
      </w:r>
      <w:r>
        <w:rPr>
          <w:rFonts w:ascii="宋体" w:hAnsi="宋体"/>
          <w:color w:val="000000"/>
        </w:rPr>
        <w:t>二）推进智能建造，推动发展提速增效</w:t>
      </w:r>
      <w:bookmarkEnd w:id="383"/>
      <w:bookmarkEnd w:id="384"/>
      <w:bookmarkEnd w:id="385"/>
      <w:bookmarkEnd w:id="386"/>
    </w:p>
    <w:p>
      <w:pPr>
        <w:adjustRightInd w:val="0"/>
        <w:snapToGrid w:val="0"/>
        <w:ind w:firstLine="560"/>
        <w:rPr>
          <w:color w:val="000000"/>
        </w:rPr>
      </w:pPr>
      <w:r>
        <w:rPr>
          <w:rFonts w:hint="eastAsia"/>
          <w:color w:val="000000"/>
        </w:rPr>
        <w:t>以装配式建筑为载体实施智能建造，围绕推广</w:t>
      </w:r>
      <w:r>
        <w:rPr>
          <w:color w:val="000000"/>
        </w:rPr>
        <w:t>BIM技术、</w:t>
      </w:r>
      <w:r>
        <w:rPr>
          <w:rFonts w:hint="eastAsia"/>
          <w:color w:val="000000"/>
        </w:rPr>
        <w:t>拓展智慧工地应用、发展基础设施物联网和建筑业互联网等有效推动相关工作。推动建筑信息模型（</w:t>
      </w:r>
      <w:r>
        <w:rPr>
          <w:color w:val="000000"/>
        </w:rPr>
        <w:t>BIM）技术在装配式</w:t>
      </w:r>
      <w:r>
        <w:rPr>
          <w:rFonts w:hint="eastAsia"/>
          <w:color w:val="000000"/>
        </w:rPr>
        <w:t>建筑规划、设计、生产、施工、装修、运维等全过程的集成应用，建立基于</w:t>
      </w:r>
      <w:r>
        <w:rPr>
          <w:color w:val="000000"/>
        </w:rPr>
        <w:t>BIM技术的土建装修一体化集成设计能力，</w:t>
      </w:r>
      <w:r>
        <w:rPr>
          <w:rFonts w:hint="eastAsia"/>
          <w:color w:val="000000"/>
        </w:rPr>
        <w:t>实现工程建设全生命周期信息化管理。</w:t>
      </w:r>
    </w:p>
    <w:p>
      <w:pPr>
        <w:pStyle w:val="6"/>
        <w:ind w:firstLine="141"/>
        <w:rPr>
          <w:rFonts w:ascii="宋体" w:hAnsi="宋体"/>
          <w:color w:val="000000"/>
        </w:rPr>
      </w:pPr>
      <w:bookmarkStart w:id="387" w:name="_Toc118566600"/>
      <w:bookmarkStart w:id="388" w:name="_Toc118566734"/>
      <w:bookmarkStart w:id="389" w:name="_Toc118566467"/>
      <w:bookmarkStart w:id="390" w:name="_Toc118566334"/>
      <w:r>
        <w:rPr>
          <w:rFonts w:hint="eastAsia" w:ascii="宋体" w:hAnsi="宋体"/>
          <w:color w:val="000000"/>
        </w:rPr>
        <w:t>（</w:t>
      </w:r>
      <w:r>
        <w:rPr>
          <w:rFonts w:ascii="宋体" w:hAnsi="宋体"/>
          <w:color w:val="000000"/>
        </w:rPr>
        <w:t>三）强化协同创新，推动技术路线优化</w:t>
      </w:r>
      <w:bookmarkEnd w:id="387"/>
      <w:bookmarkEnd w:id="388"/>
      <w:bookmarkEnd w:id="389"/>
      <w:bookmarkEnd w:id="390"/>
    </w:p>
    <w:p>
      <w:pPr>
        <w:adjustRightInd w:val="0"/>
        <w:snapToGrid w:val="0"/>
        <w:ind w:firstLine="560"/>
        <w:rPr>
          <w:color w:val="000000"/>
        </w:rPr>
      </w:pPr>
      <w:r>
        <w:rPr>
          <w:rFonts w:hint="eastAsia"/>
          <w:color w:val="000000"/>
        </w:rPr>
        <w:t>加强技术体系研发创新，推广应用成熟、安全可靠的结构体系，构建标准化、通用化产品体系，优化施工工艺优化措施，开展装配化施工成套技术、质量检测技术研究以及预制构件吊装、支撑、校正等施工设备和机具研发，为产业技术更新持续推进提供支撑。发展工业化装修和成品住宅，推进一体化装修模式和集成式厨卫、管线分离等工业化装修新技术应用，发展成品住宅推行一体化集成设计。</w:t>
      </w:r>
    </w:p>
    <w:p>
      <w:pPr>
        <w:pStyle w:val="6"/>
        <w:ind w:firstLine="141"/>
        <w:rPr>
          <w:rFonts w:ascii="宋体" w:hAnsi="宋体"/>
          <w:color w:val="000000"/>
        </w:rPr>
      </w:pPr>
      <w:bookmarkStart w:id="391" w:name="_Toc118566468"/>
      <w:bookmarkStart w:id="392" w:name="_Toc118566735"/>
      <w:bookmarkStart w:id="393" w:name="_Toc118566335"/>
      <w:bookmarkStart w:id="394" w:name="_Toc118566601"/>
      <w:r>
        <w:rPr>
          <w:rFonts w:hint="eastAsia" w:ascii="宋体" w:hAnsi="宋体"/>
          <w:color w:val="000000"/>
        </w:rPr>
        <w:t>（</w:t>
      </w:r>
      <w:r>
        <w:rPr>
          <w:rFonts w:ascii="宋体" w:hAnsi="宋体"/>
          <w:color w:val="000000"/>
        </w:rPr>
        <w:t>四）培育龙头企业，提升工程实施能力</w:t>
      </w:r>
      <w:bookmarkEnd w:id="391"/>
      <w:bookmarkEnd w:id="392"/>
      <w:bookmarkEnd w:id="393"/>
      <w:bookmarkEnd w:id="394"/>
    </w:p>
    <w:p>
      <w:pPr>
        <w:adjustRightInd w:val="0"/>
        <w:snapToGrid w:val="0"/>
        <w:ind w:firstLine="560"/>
        <w:rPr>
          <w:color w:val="000000"/>
        </w:rPr>
      </w:pPr>
      <w:r>
        <w:rPr>
          <w:rFonts w:hint="eastAsia"/>
          <w:color w:val="000000"/>
        </w:rPr>
        <w:t>坚持外地引进与本地培育并重，发展一批具备工程管理、设计、施工、生产、采购一体化能力的装配式建筑龙头企业，突出发挥龙头企业示范带动作用，提升装配式建筑实施能力。支持企业建立工程技术研究中心，开展科研攻关，建立装配式建筑人才培养和发展的长效机制。</w:t>
      </w:r>
    </w:p>
    <w:p>
      <w:pPr>
        <w:pStyle w:val="5"/>
        <w:numPr>
          <w:numId w:val="0"/>
        </w:numPr>
        <w:spacing w:before="190"/>
        <w:jc w:val="both"/>
        <w:rPr>
          <w:color w:val="000000"/>
        </w:rPr>
      </w:pPr>
      <w:bookmarkStart w:id="395" w:name="_Toc119916754"/>
      <w:bookmarkStart w:id="396" w:name="_Toc118566336"/>
      <w:bookmarkStart w:id="397" w:name="_Toc118566602"/>
      <w:bookmarkStart w:id="398" w:name="_Toc118628779"/>
      <w:bookmarkStart w:id="399" w:name="_Toc118566469"/>
      <w:bookmarkStart w:id="400" w:name="_Toc118566736"/>
      <w:r>
        <w:rPr>
          <w:rFonts w:hint="eastAsia"/>
          <w:color w:val="000000"/>
        </w:rPr>
        <w:t>二、全面推广绿色建筑</w:t>
      </w:r>
      <w:bookmarkEnd w:id="395"/>
      <w:bookmarkEnd w:id="396"/>
      <w:bookmarkEnd w:id="397"/>
      <w:bookmarkEnd w:id="398"/>
      <w:bookmarkEnd w:id="399"/>
      <w:bookmarkEnd w:id="400"/>
    </w:p>
    <w:p>
      <w:pPr>
        <w:pStyle w:val="6"/>
        <w:ind w:firstLine="141"/>
        <w:rPr>
          <w:rFonts w:ascii="宋体" w:hAnsi="宋体"/>
          <w:color w:val="000000"/>
        </w:rPr>
      </w:pPr>
      <w:bookmarkStart w:id="401" w:name="_Toc118566337"/>
      <w:bookmarkStart w:id="402" w:name="_Toc118566470"/>
      <w:bookmarkStart w:id="403" w:name="_Toc118566737"/>
      <w:bookmarkStart w:id="404" w:name="_Toc118566603"/>
      <w:r>
        <w:rPr>
          <w:rFonts w:hint="eastAsia" w:ascii="宋体" w:hAnsi="宋体"/>
          <w:color w:val="000000"/>
        </w:rPr>
        <w:t>（</w:t>
      </w:r>
      <w:r>
        <w:rPr>
          <w:rFonts w:ascii="宋体" w:hAnsi="宋体"/>
          <w:color w:val="000000"/>
        </w:rPr>
        <w:t>一）建设高品质绿色建筑</w:t>
      </w:r>
      <w:bookmarkEnd w:id="401"/>
      <w:bookmarkEnd w:id="402"/>
      <w:bookmarkEnd w:id="403"/>
      <w:bookmarkEnd w:id="404"/>
    </w:p>
    <w:p>
      <w:pPr>
        <w:adjustRightInd w:val="0"/>
        <w:snapToGrid w:val="0"/>
        <w:ind w:firstLine="560"/>
        <w:rPr>
          <w:color w:val="000000"/>
        </w:rPr>
      </w:pPr>
      <w:r>
        <w:rPr>
          <w:rFonts w:hint="eastAsia"/>
          <w:color w:val="000000"/>
        </w:rPr>
        <w:t>深入实施绿色建筑创建行动。推进实施《四川省绿色建筑发展实施细则》，规范绿色建筑相关规划、设计、建设、运营等活动，引导绿色建筑高质量发展，加大政策支持和资金投入，协调推进新建绿色建筑、建筑能效提升、装配式建筑、商品房全装修、绿色建材推广、既有建筑绿色化改造、可再生能源建筑应用等工作，不断健全相关标准和引导激励措施。</w:t>
      </w:r>
    </w:p>
    <w:p>
      <w:pPr>
        <w:adjustRightInd w:val="0"/>
        <w:snapToGrid w:val="0"/>
        <w:ind w:firstLine="560"/>
        <w:rPr>
          <w:color w:val="000000"/>
        </w:rPr>
      </w:pPr>
      <w:r>
        <w:rPr>
          <w:rFonts w:hint="eastAsia"/>
          <w:color w:val="000000"/>
        </w:rPr>
        <w:t>坚持“适用、经济、绿色、美观”的建筑方针，加强设计理念创新，注重空间布局、公共服务功能、资源节约利用、地域文化和谐共生，提升建筑品质和特色。大力发展和使用绿色建材，鼓励支持建筑企业优先使用资源化利用工业固体废弃物的绿色建材，提高绿色建材应用比例。到</w:t>
      </w:r>
      <w:r>
        <w:rPr>
          <w:color w:val="000000"/>
        </w:rPr>
        <w:t>2025年，当</w:t>
      </w:r>
      <w:r>
        <w:rPr>
          <w:rFonts w:hint="eastAsia"/>
          <w:color w:val="000000"/>
        </w:rPr>
        <w:t>年全市城镇新建民用建筑中</w:t>
      </w:r>
      <w:r>
        <w:rPr>
          <w:color w:val="000000"/>
        </w:rPr>
        <w:t>100%达到绿色建筑标准。</w:t>
      </w:r>
    </w:p>
    <w:p>
      <w:pPr>
        <w:pStyle w:val="6"/>
        <w:ind w:firstLine="141"/>
        <w:rPr>
          <w:rFonts w:ascii="宋体" w:hAnsi="宋体"/>
          <w:color w:val="000000"/>
        </w:rPr>
      </w:pPr>
      <w:bookmarkStart w:id="405" w:name="_Toc118566738"/>
      <w:bookmarkStart w:id="406" w:name="_Toc118566471"/>
      <w:bookmarkStart w:id="407" w:name="_Toc118566338"/>
      <w:bookmarkStart w:id="408" w:name="_Toc118566604"/>
      <w:r>
        <w:rPr>
          <w:rFonts w:hint="eastAsia" w:ascii="宋体" w:hAnsi="宋体"/>
          <w:color w:val="000000"/>
        </w:rPr>
        <w:t>（二）提高建筑节能水平</w:t>
      </w:r>
      <w:bookmarkEnd w:id="405"/>
      <w:bookmarkEnd w:id="406"/>
      <w:bookmarkEnd w:id="407"/>
      <w:bookmarkEnd w:id="408"/>
    </w:p>
    <w:p>
      <w:pPr>
        <w:adjustRightInd w:val="0"/>
        <w:snapToGrid w:val="0"/>
        <w:ind w:firstLine="560"/>
        <w:rPr>
          <w:color w:val="000000"/>
        </w:rPr>
      </w:pPr>
      <w:r>
        <w:rPr>
          <w:rFonts w:hint="eastAsia"/>
          <w:color w:val="000000"/>
        </w:rPr>
        <w:t>推进建筑能效和健康性能提升。抓好新建建筑节能，重点落实外遮阳、门窗、空调等重点部位和设施节能要求，推进利用地源热泵、高效空气源热泵、太阳能光热光伏、电梯能源回收等可再生能源建筑应用，探索适合广元市域特点的超低能耗建筑发展技术路径。结合城镇老旧小区改造等工作，推动既有居住建筑开展节能改造，探索绿色化改造方式。</w:t>
      </w:r>
    </w:p>
    <w:p>
      <w:pPr>
        <w:pStyle w:val="6"/>
        <w:ind w:firstLine="141"/>
        <w:rPr>
          <w:rFonts w:ascii="宋体" w:hAnsi="宋体"/>
          <w:color w:val="000000"/>
        </w:rPr>
      </w:pPr>
      <w:bookmarkStart w:id="409" w:name="_Toc118566739"/>
      <w:bookmarkStart w:id="410" w:name="_Toc118566339"/>
      <w:bookmarkStart w:id="411" w:name="_Toc118566605"/>
      <w:bookmarkStart w:id="412" w:name="_Toc118566472"/>
      <w:r>
        <w:rPr>
          <w:rFonts w:hint="eastAsia" w:ascii="宋体" w:hAnsi="宋体"/>
          <w:color w:val="000000"/>
        </w:rPr>
        <w:t>（三）推进建筑垃圾减量化与资源化利用</w:t>
      </w:r>
      <w:bookmarkEnd w:id="409"/>
      <w:bookmarkEnd w:id="410"/>
      <w:bookmarkEnd w:id="411"/>
      <w:bookmarkEnd w:id="412"/>
    </w:p>
    <w:p>
      <w:pPr>
        <w:adjustRightInd w:val="0"/>
        <w:snapToGrid w:val="0"/>
        <w:ind w:firstLine="560"/>
        <w:rPr>
          <w:color w:val="000000"/>
        </w:rPr>
      </w:pPr>
      <w:r>
        <w:rPr>
          <w:rFonts w:hint="eastAsia"/>
          <w:color w:val="000000"/>
        </w:rPr>
        <w:t>从设计源头推进建筑垃圾减量化。提高设计质量，合理确定场地标高，开展土方平衡论证，减少渣土外运；提倡建筑、结构、机电、装修、景观全专业一体化协同设计。鼓励设计单位采用高强、高性能、高耐久性和可循环材料，推进功能模块和部品构件标准化，减少异型和非标准部品构件。优先选用绿色建材，实行全装修交付，保证设计深度，减少施工过程设计变更，减少建筑垃圾。</w:t>
      </w:r>
    </w:p>
    <w:p>
      <w:pPr>
        <w:adjustRightInd w:val="0"/>
        <w:snapToGrid w:val="0"/>
        <w:ind w:firstLine="560"/>
        <w:rPr>
          <w:color w:val="000000"/>
        </w:rPr>
      </w:pPr>
      <w:r>
        <w:rPr>
          <w:rFonts w:hint="eastAsia"/>
          <w:color w:val="000000"/>
        </w:rPr>
        <w:t>建立建筑垃圾再生产品市场推广机制，加快研究建筑垃圾再生产品的工程应用技术标准，提升建筑再生产品质量，不断拓展应用范围，在满足设计要求前提下，鼓励政府投资项目优先使用再生产品。</w:t>
      </w:r>
    </w:p>
    <w:p>
      <w:pPr>
        <w:pStyle w:val="5"/>
        <w:numPr>
          <w:numId w:val="0"/>
        </w:numPr>
        <w:spacing w:before="190"/>
        <w:jc w:val="both"/>
        <w:rPr>
          <w:color w:val="000000"/>
        </w:rPr>
      </w:pPr>
      <w:bookmarkStart w:id="413" w:name="_Toc118628780"/>
      <w:bookmarkStart w:id="414" w:name="_Toc118566340"/>
      <w:bookmarkStart w:id="415" w:name="_Toc118566473"/>
      <w:bookmarkStart w:id="416" w:name="_Toc119916755"/>
      <w:bookmarkStart w:id="417" w:name="_Toc118566606"/>
      <w:bookmarkStart w:id="418" w:name="_Toc118566740"/>
      <w:r>
        <w:rPr>
          <w:rFonts w:hint="eastAsia"/>
          <w:color w:val="000000"/>
        </w:rPr>
        <w:t>三、积极</w:t>
      </w:r>
      <w:r>
        <w:rPr>
          <w:color w:val="000000"/>
        </w:rPr>
        <w:t>推进装配式建筑发展</w:t>
      </w:r>
      <w:bookmarkEnd w:id="413"/>
      <w:bookmarkEnd w:id="414"/>
      <w:bookmarkEnd w:id="415"/>
      <w:bookmarkEnd w:id="416"/>
      <w:bookmarkEnd w:id="417"/>
      <w:bookmarkEnd w:id="418"/>
    </w:p>
    <w:p>
      <w:pPr>
        <w:pStyle w:val="6"/>
        <w:ind w:firstLine="141"/>
        <w:rPr>
          <w:rFonts w:ascii="宋体" w:hAnsi="宋体"/>
          <w:color w:val="000000"/>
        </w:rPr>
      </w:pPr>
      <w:r>
        <w:rPr>
          <w:rFonts w:hint="eastAsia" w:ascii="宋体" w:hAnsi="宋体"/>
          <w:color w:val="000000"/>
        </w:rPr>
        <w:t>（一）</w:t>
      </w:r>
      <w:r>
        <w:rPr>
          <w:rFonts w:ascii="宋体" w:hAnsi="宋体"/>
          <w:color w:val="000000"/>
        </w:rPr>
        <w:t>因地制宜发展装配式建筑</w:t>
      </w:r>
    </w:p>
    <w:p>
      <w:pPr>
        <w:adjustRightInd w:val="0"/>
        <w:snapToGrid w:val="0"/>
        <w:ind w:firstLine="560"/>
        <w:rPr>
          <w:color w:val="000000"/>
        </w:rPr>
      </w:pPr>
      <w:r>
        <w:rPr>
          <w:rFonts w:hint="eastAsia"/>
          <w:color w:val="000000"/>
        </w:rPr>
        <w:t>加快装配式建筑推进步伐；其他地区因地制宜发展，全面推广复制重点地区经验。进一步提升城镇新区建设、重要功能区建设、房地产项目等领域的装配式建筑比例。持续稳妥推进装配式建筑发展，注重产业链配套，降低建造成本。从严控制新的生产基地投资建设。</w:t>
      </w:r>
    </w:p>
    <w:p>
      <w:pPr>
        <w:pStyle w:val="6"/>
        <w:ind w:firstLine="141"/>
        <w:rPr>
          <w:rFonts w:ascii="宋体" w:hAnsi="宋体"/>
          <w:color w:val="000000"/>
        </w:rPr>
      </w:pPr>
      <w:bookmarkStart w:id="419" w:name="_Toc118566742"/>
      <w:bookmarkStart w:id="420" w:name="_Toc118566342"/>
      <w:bookmarkStart w:id="421" w:name="_Toc118566475"/>
      <w:bookmarkStart w:id="422" w:name="_Toc118566608"/>
      <w:r>
        <w:rPr>
          <w:rFonts w:hint="eastAsia" w:ascii="宋体" w:hAnsi="宋体"/>
          <w:color w:val="000000"/>
        </w:rPr>
        <w:t>（二）</w:t>
      </w:r>
      <w:r>
        <w:rPr>
          <w:rFonts w:ascii="宋体" w:hAnsi="宋体"/>
          <w:color w:val="000000"/>
        </w:rPr>
        <w:t>分类推进装配式建筑构件</w:t>
      </w:r>
      <w:bookmarkEnd w:id="419"/>
      <w:bookmarkEnd w:id="420"/>
      <w:bookmarkEnd w:id="421"/>
      <w:bookmarkEnd w:id="422"/>
    </w:p>
    <w:p>
      <w:pPr>
        <w:adjustRightInd w:val="0"/>
        <w:snapToGrid w:val="0"/>
        <w:ind w:firstLine="560"/>
        <w:rPr>
          <w:color w:val="000000"/>
        </w:rPr>
      </w:pPr>
      <w:r>
        <w:rPr>
          <w:rFonts w:hint="eastAsia"/>
          <w:color w:val="000000"/>
        </w:rPr>
        <w:t>对于适合装配化的新建房建项目，积极推广内外隔墙板、楼梯板、叠合楼板等非主要受力“三板”；在市政基础设施工程中，大力推广使用小跨径桥梁梁片、城市地铁管片、管廊、管沟、检查井、河道坡岸砌块、栏杆、路缘石等部品部件；在保障房项目推广装配式精装修；在大型公共建筑、超高层建筑、农村住宅以及市政桥梁工程中，积极推广钢结构。</w:t>
      </w:r>
    </w:p>
    <w:p>
      <w:pPr>
        <w:pStyle w:val="6"/>
        <w:ind w:firstLine="141"/>
        <w:rPr>
          <w:rFonts w:ascii="宋体" w:hAnsi="宋体"/>
          <w:color w:val="000000"/>
        </w:rPr>
      </w:pPr>
      <w:bookmarkStart w:id="423" w:name="_Toc118566609"/>
      <w:bookmarkStart w:id="424" w:name="_Toc118566743"/>
      <w:bookmarkStart w:id="425" w:name="_Toc118566476"/>
      <w:bookmarkStart w:id="426" w:name="_Toc118566343"/>
      <w:r>
        <w:rPr>
          <w:rFonts w:hint="eastAsia" w:ascii="宋体" w:hAnsi="宋体"/>
          <w:color w:val="000000"/>
        </w:rPr>
        <w:t>（三）</w:t>
      </w:r>
      <w:r>
        <w:rPr>
          <w:rFonts w:ascii="宋体" w:hAnsi="宋体"/>
          <w:color w:val="000000"/>
        </w:rPr>
        <w:t>提升装配式建筑设计水平</w:t>
      </w:r>
      <w:bookmarkEnd w:id="423"/>
      <w:bookmarkEnd w:id="424"/>
      <w:bookmarkEnd w:id="425"/>
      <w:bookmarkEnd w:id="426"/>
    </w:p>
    <w:p>
      <w:pPr>
        <w:adjustRightInd w:val="0"/>
        <w:snapToGrid w:val="0"/>
        <w:ind w:firstLine="560"/>
        <w:rPr>
          <w:color w:val="000000"/>
        </w:rPr>
      </w:pPr>
      <w:r>
        <w:rPr>
          <w:rFonts w:hint="eastAsia"/>
          <w:color w:val="000000"/>
        </w:rPr>
        <w:t>强化装配式建筑模数化设计管理，将设计模数化情况纳入装配式建筑招投标评审内容，确保设计的部品部件满足标准化和通用化要求。指导设计单位完善标准化设计，实现装配式建筑一次设计，避免二次拆分。装配式建筑设计要与智能建造、绿色建筑互相融合。鼓励装配式建筑设计采用智能化、节能环保、消能减震等新技术和全装修，提升建筑品质，提升群众获得感。</w:t>
      </w:r>
    </w:p>
    <w:p>
      <w:pPr>
        <w:pStyle w:val="5"/>
        <w:numPr>
          <w:numId w:val="0"/>
        </w:numPr>
        <w:spacing w:before="190"/>
        <w:jc w:val="both"/>
        <w:rPr>
          <w:color w:val="000000"/>
        </w:rPr>
      </w:pPr>
      <w:bookmarkStart w:id="427" w:name="_Toc118628781"/>
      <w:bookmarkStart w:id="428" w:name="_Toc118566477"/>
      <w:bookmarkStart w:id="429" w:name="_Toc118566344"/>
      <w:bookmarkStart w:id="430" w:name="_Toc118566610"/>
      <w:bookmarkStart w:id="431" w:name="_Toc118566744"/>
      <w:bookmarkStart w:id="432" w:name="_Toc119916756"/>
      <w:r>
        <w:rPr>
          <w:rFonts w:hint="eastAsia"/>
          <w:color w:val="000000"/>
        </w:rPr>
        <w:t>四、融合智能建造突出创新驱动</w:t>
      </w:r>
      <w:bookmarkEnd w:id="427"/>
      <w:bookmarkEnd w:id="428"/>
      <w:bookmarkEnd w:id="429"/>
      <w:bookmarkEnd w:id="430"/>
      <w:bookmarkEnd w:id="431"/>
      <w:bookmarkEnd w:id="432"/>
    </w:p>
    <w:p>
      <w:pPr>
        <w:adjustRightInd w:val="0"/>
        <w:snapToGrid w:val="0"/>
        <w:ind w:firstLine="560"/>
        <w:rPr>
          <w:color w:val="000000"/>
        </w:rPr>
      </w:pPr>
      <w:r>
        <w:rPr>
          <w:rFonts w:hint="eastAsia"/>
          <w:color w:val="000000"/>
        </w:rPr>
        <w:t>推动基于建设全产业链的智能建造能力提升。推进建筑信息模型（</w:t>
      </w:r>
      <w:r>
        <w:rPr>
          <w:color w:val="000000"/>
        </w:rPr>
        <w:t>BIM）、5G、大数据、移动互联网、云计算、物联</w:t>
      </w:r>
      <w:r>
        <w:rPr>
          <w:rFonts w:hint="eastAsia"/>
          <w:color w:val="000000"/>
        </w:rPr>
        <w:t>网、人工智能等技术在设计、施工、运营维护全过程的研发、集成与应用，大力发展信息技术在城市轨道交通、大型桥梁、装配式建筑、综合管廊、老旧小区改造等重点项目以及大型项目中的深度应用。推动智能建造与建筑工业化、绿色建筑的融合发展。探索建立智能建造模式和与之相适应的制度机制，营造良好产业生态，推动“互联网</w:t>
      </w:r>
      <w:r>
        <w:rPr>
          <w:color w:val="000000"/>
        </w:rPr>
        <w:t>+”在建筑业的融合发</w:t>
      </w:r>
      <w:r>
        <w:rPr>
          <w:rFonts w:hint="eastAsia"/>
          <w:color w:val="000000"/>
        </w:rPr>
        <w:t>展，利用互联网思维改造升级传统建筑业，实现建筑业标准化、信息化、精细化管理“三化融合”，促进企业管理升级。</w:t>
      </w:r>
    </w:p>
    <w:p>
      <w:pPr>
        <w:pStyle w:val="5"/>
        <w:numPr>
          <w:numId w:val="0"/>
        </w:numPr>
        <w:spacing w:before="190"/>
        <w:jc w:val="both"/>
        <w:rPr>
          <w:color w:val="000000"/>
        </w:rPr>
      </w:pPr>
      <w:bookmarkStart w:id="433" w:name="_Toc119916757"/>
      <w:bookmarkStart w:id="434" w:name="_Toc118566478"/>
      <w:bookmarkStart w:id="435" w:name="_Toc118566611"/>
      <w:bookmarkStart w:id="436" w:name="_Toc118628782"/>
      <w:bookmarkStart w:id="437" w:name="_Toc118566745"/>
      <w:bookmarkStart w:id="438" w:name="_Toc118566345"/>
      <w:r>
        <w:rPr>
          <w:rFonts w:hint="eastAsia"/>
          <w:color w:val="000000"/>
        </w:rPr>
        <w:t>五、推进工程质量安全标准化建设</w:t>
      </w:r>
      <w:bookmarkEnd w:id="433"/>
      <w:bookmarkEnd w:id="434"/>
      <w:bookmarkEnd w:id="435"/>
      <w:bookmarkEnd w:id="436"/>
      <w:bookmarkEnd w:id="437"/>
      <w:bookmarkEnd w:id="438"/>
    </w:p>
    <w:p>
      <w:pPr>
        <w:adjustRightInd w:val="0"/>
        <w:snapToGrid w:val="0"/>
        <w:ind w:firstLine="560"/>
        <w:rPr>
          <w:color w:val="000000"/>
        </w:rPr>
      </w:pPr>
      <w:r>
        <w:rPr>
          <w:rFonts w:hint="eastAsia"/>
          <w:color w:val="000000"/>
        </w:rPr>
        <w:t>织牢工程质量安全责任体系，完善质量安全工作机制。完善“企业责任、政府监管、行业自律、社会监督”的工程质量安全工作机制，落实建设、勘察、设计、施工、监理等五方主体及项目负责人质量安全责任，督促企业建立完善内部质量安全工作机制，有效落实内控制度，保障工程质量安全。加强工程勘察设计质量全过程管理，全面推行数字化审查。稳步推进图审制度改革，加强勘察设计质量“双随机”检查，推动网上在线监管和抽查常态化。按照属地管理原则，落实工程质量安全监管责任。完善工程质量安全动态监管评价和奖惩机制，推动建立与建筑业发展相适应的工程质量安全监管模式与机制。</w:t>
      </w:r>
    </w:p>
    <w:bookmarkEnd w:id="369"/>
    <w:bookmarkEnd w:id="370"/>
    <w:bookmarkEnd w:id="371"/>
    <w:bookmarkEnd w:id="372"/>
    <w:p>
      <w:pPr>
        <w:pStyle w:val="4"/>
        <w:rPr>
          <w:rFonts w:hint="eastAsia"/>
          <w:color w:val="000000"/>
        </w:rPr>
      </w:pPr>
      <w:bookmarkStart w:id="439" w:name="_Toc118566612"/>
      <w:bookmarkStart w:id="440" w:name="_Toc118566346"/>
      <w:bookmarkStart w:id="441" w:name="_Toc118566746"/>
      <w:bookmarkStart w:id="442" w:name="_Toc119916758"/>
      <w:bookmarkStart w:id="443" w:name="_Toc118566479"/>
      <w:r>
        <w:rPr>
          <w:rFonts w:hint="eastAsia" w:ascii="宋体" w:hAnsi="宋体"/>
          <w:color w:val="000000"/>
        </w:rPr>
        <w:t>第六章 全面改善城乡住房条件</w:t>
      </w:r>
      <w:bookmarkEnd w:id="439"/>
      <w:bookmarkEnd w:id="440"/>
      <w:bookmarkEnd w:id="441"/>
      <w:bookmarkEnd w:id="442"/>
      <w:bookmarkEnd w:id="443"/>
    </w:p>
    <w:p>
      <w:pPr>
        <w:adjustRightInd w:val="0"/>
        <w:snapToGrid w:val="0"/>
        <w:ind w:firstLine="560"/>
        <w:rPr>
          <w:color w:val="000000"/>
        </w:rPr>
      </w:pPr>
      <w:r>
        <w:rPr>
          <w:rFonts w:hint="eastAsia"/>
          <w:color w:val="000000"/>
        </w:rPr>
        <w:t>加快完善以公共租赁住房、保障性租赁住房和公租房补贴为主的住房保障体系，逐步提高保障能力，大力实施老旧小区改造，推广现代宜居农房建设，全面改善群众居住品质。</w:t>
      </w:r>
    </w:p>
    <w:p>
      <w:pPr>
        <w:pStyle w:val="5"/>
        <w:numPr>
          <w:numId w:val="0"/>
        </w:numPr>
        <w:spacing w:before="190"/>
        <w:jc w:val="both"/>
        <w:rPr>
          <w:color w:val="000000"/>
        </w:rPr>
      </w:pPr>
      <w:bookmarkStart w:id="444" w:name="_Toc118566347"/>
      <w:bookmarkStart w:id="445" w:name="_Toc118566480"/>
      <w:bookmarkStart w:id="446" w:name="_Toc118566747"/>
      <w:bookmarkStart w:id="447" w:name="_Toc118566613"/>
      <w:bookmarkStart w:id="448" w:name="_Toc119916759"/>
      <w:r>
        <w:rPr>
          <w:color w:val="000000"/>
        </w:rPr>
        <w:t>一、优化住房保障体系</w:t>
      </w:r>
      <w:bookmarkEnd w:id="444"/>
      <w:bookmarkEnd w:id="445"/>
      <w:bookmarkEnd w:id="446"/>
      <w:bookmarkEnd w:id="447"/>
      <w:bookmarkEnd w:id="448"/>
    </w:p>
    <w:p>
      <w:pPr>
        <w:adjustRightInd w:val="0"/>
        <w:snapToGrid w:val="0"/>
        <w:ind w:left="-15" w:firstLine="560"/>
        <w:rPr>
          <w:color w:val="000000"/>
        </w:rPr>
      </w:pPr>
      <w:r>
        <w:rPr>
          <w:color w:val="000000"/>
        </w:rPr>
        <w:t>城镇住房保障高标准建设。加快构建以公租房和保障性租赁住房为主体，城镇棚户区、老旧小区改造、共有产权住房等多种保障方式为补充的“</w:t>
      </w:r>
      <w:r>
        <w:rPr>
          <w:rFonts w:ascii="仿宋_GB2312" w:hAnsi="仿宋_GB2312" w:eastAsia="仿宋_GB2312" w:cs="仿宋_GB2312"/>
          <w:color w:val="000000"/>
        </w:rPr>
        <w:t>2+X</w:t>
      </w:r>
      <w:r>
        <w:rPr>
          <w:color w:val="000000"/>
        </w:rPr>
        <w:t>”住房保障体系，完善功能配套，让“住有所居”向“住有宜居”转变。</w:t>
      </w:r>
    </w:p>
    <w:p>
      <w:pPr>
        <w:pStyle w:val="6"/>
        <w:numPr>
          <w:ilvl w:val="0"/>
          <w:numId w:val="4"/>
        </w:numPr>
        <w:ind w:firstLineChars="0"/>
        <w:rPr>
          <w:color w:val="000000"/>
        </w:rPr>
      </w:pPr>
      <w:bookmarkStart w:id="449" w:name="_Toc118566481"/>
      <w:bookmarkStart w:id="450" w:name="_Toc118566748"/>
      <w:bookmarkStart w:id="451" w:name="_Toc118566348"/>
      <w:bookmarkStart w:id="452" w:name="_Toc118566614"/>
      <w:r>
        <w:rPr>
          <w:color w:val="000000"/>
        </w:rPr>
        <w:t>进一步规范发展公租房</w:t>
      </w:r>
      <w:bookmarkEnd w:id="449"/>
      <w:bookmarkEnd w:id="450"/>
      <w:bookmarkEnd w:id="451"/>
      <w:bookmarkEnd w:id="452"/>
    </w:p>
    <w:p>
      <w:pPr>
        <w:adjustRightInd w:val="0"/>
        <w:snapToGrid w:val="0"/>
        <w:ind w:left="-15" w:firstLine="560"/>
      </w:pPr>
      <w:r>
        <w:rPr>
          <w:rFonts w:hint="eastAsia"/>
          <w:color w:val="000000"/>
        </w:rPr>
        <w:t>发挥好公租房基本保障作用，坚持“实物与货币”并举的住房保障制度，并逐步向以发放租赁补贴为主转变，实现城镇低保、低收入住房困难家庭应保尽保，鼓励各县区加大租赁补贴保障力度，逐步实现租赁补贴标准占市场平均租金比例与公共租赁住房租金优惠比例基本保持一致，通过做好房源清单和保障对象清单管理，不断规范保障对象进入退出程序，提高公租房源流转效率。</w:t>
      </w:r>
    </w:p>
    <w:p>
      <w:pPr>
        <w:pStyle w:val="6"/>
        <w:numPr>
          <w:ilvl w:val="0"/>
          <w:numId w:val="4"/>
        </w:numPr>
        <w:ind w:firstLineChars="0"/>
        <w:rPr>
          <w:color w:val="000000"/>
        </w:rPr>
      </w:pPr>
      <w:bookmarkStart w:id="453" w:name="_Toc118566615"/>
      <w:bookmarkStart w:id="454" w:name="_Toc118566749"/>
      <w:bookmarkStart w:id="455" w:name="_Toc118566482"/>
      <w:bookmarkStart w:id="456" w:name="_Toc118566349"/>
      <w:r>
        <w:rPr>
          <w:rFonts w:hint="eastAsia"/>
          <w:color w:val="000000"/>
        </w:rPr>
        <w:t>稳步发展保障性租赁住房</w:t>
      </w:r>
      <w:bookmarkEnd w:id="453"/>
      <w:bookmarkEnd w:id="454"/>
      <w:bookmarkEnd w:id="455"/>
      <w:bookmarkEnd w:id="456"/>
    </w:p>
    <w:p>
      <w:pPr>
        <w:adjustRightInd w:val="0"/>
        <w:snapToGrid w:val="0"/>
        <w:ind w:left="-15" w:firstLine="560"/>
      </w:pPr>
      <w:r>
        <w:rPr>
          <w:rFonts w:hint="eastAsia"/>
          <w:color w:val="000000"/>
        </w:rPr>
        <w:t>通过改建与配建为主、新建为补充的方式，重点布局在产业园区及周边、重要交通站点附近、商业商务聚集区等交通便捷、生产生活便利、配套服务设施完善的区域，稳步发展保障性租赁住房。将闲置和低效利用的商业、办公、旅馆等非居住存量房屋经批准后依法依规改建，在工业园区、商品房项目中配建，鼓励集体经济组织在临近产业功能区、交通便利区域将集体建设用地和城区需求大的区域新建，筹集建筑面积不超过70平方米、租金水平不高于同地段同品质住房市场90%的保障性租赁住房，有效缓解新市民、青年人以及从事基本公共服务等人员住房困难问题。到2</w:t>
      </w:r>
      <w:r>
        <w:rPr>
          <w:color w:val="000000"/>
        </w:rPr>
        <w:t>025年，全市筹集保障性租赁住房2718套。</w:t>
      </w:r>
    </w:p>
    <w:p>
      <w:pPr>
        <w:pStyle w:val="6"/>
        <w:numPr>
          <w:ilvl w:val="0"/>
          <w:numId w:val="4"/>
        </w:numPr>
        <w:ind w:firstLineChars="0"/>
        <w:rPr>
          <w:color w:val="000000"/>
        </w:rPr>
      </w:pPr>
      <w:bookmarkStart w:id="457" w:name="_Toc118566616"/>
      <w:bookmarkStart w:id="458" w:name="_Toc118566483"/>
      <w:bookmarkStart w:id="459" w:name="_Toc118566350"/>
      <w:bookmarkStart w:id="460" w:name="_Toc118566750"/>
      <w:r>
        <w:rPr>
          <w:rFonts w:hint="eastAsia"/>
          <w:color w:val="000000"/>
        </w:rPr>
        <w:t>积极推进棚户区改造</w:t>
      </w:r>
      <w:bookmarkEnd w:id="457"/>
      <w:bookmarkEnd w:id="458"/>
      <w:bookmarkEnd w:id="459"/>
      <w:bookmarkEnd w:id="460"/>
    </w:p>
    <w:p>
      <w:pPr>
        <w:adjustRightInd w:val="0"/>
        <w:snapToGrid w:val="0"/>
        <w:ind w:firstLine="560"/>
        <w:rPr>
          <w:rFonts w:hint="eastAsia"/>
          <w:color w:val="000000"/>
        </w:rPr>
      </w:pPr>
      <w:r>
        <w:rPr>
          <w:rFonts w:hint="eastAsia"/>
          <w:color w:val="000000"/>
        </w:rPr>
        <w:t>严把棚户区改造范围和标准。坚持因城施策、因地制宜、量力而行的原则，持续推进城镇棚户区改造，坚决防止大拆大建，严格把握改造标准，摸清剩余棚户区改造底数，以每年度省住房城乡建设厅发布的计划申报要求为准绳，科学制定棚户区改造年度目标任务，确保所提计划任务符合财政承受能力，做好棚户区改造项目的推进实施</w:t>
      </w:r>
    </w:p>
    <w:p>
      <w:pPr>
        <w:adjustRightInd w:val="0"/>
        <w:snapToGrid w:val="0"/>
        <w:ind w:firstLine="560"/>
      </w:pPr>
      <w:r>
        <w:rPr>
          <w:rFonts w:hint="eastAsia"/>
          <w:color w:val="000000"/>
        </w:rPr>
        <w:t>加强棚户区改造全生命周期管理。加快推进未分配入住的棚改项目，强化项目建设管控，严格改造工程质量管理，加强配套设施建设，建立分类分级风险预警机制，分类制定风险化解方案，化解棚改风险，确保安置群众早日入住。</w:t>
      </w:r>
    </w:p>
    <w:p>
      <w:pPr>
        <w:pStyle w:val="6"/>
        <w:numPr>
          <w:ilvl w:val="0"/>
          <w:numId w:val="4"/>
        </w:numPr>
        <w:ind w:firstLineChars="0"/>
        <w:rPr>
          <w:color w:val="000000"/>
        </w:rPr>
      </w:pPr>
      <w:bookmarkStart w:id="461" w:name="_Toc118566617"/>
      <w:bookmarkStart w:id="462" w:name="_Toc118566751"/>
      <w:bookmarkStart w:id="463" w:name="_Toc118566351"/>
      <w:bookmarkStart w:id="464" w:name="_Toc118566484"/>
      <w:r>
        <w:rPr>
          <w:rFonts w:hint="eastAsia"/>
          <w:color w:val="000000"/>
        </w:rPr>
        <w:t>全面推进城镇老旧小区改造</w:t>
      </w:r>
      <w:bookmarkEnd w:id="461"/>
      <w:bookmarkEnd w:id="462"/>
      <w:bookmarkEnd w:id="463"/>
      <w:bookmarkEnd w:id="464"/>
    </w:p>
    <w:p>
      <w:pPr>
        <w:adjustRightInd w:val="0"/>
        <w:snapToGrid w:val="0"/>
        <w:ind w:firstLine="560"/>
        <w:rPr>
          <w:color w:val="000000"/>
        </w:rPr>
      </w:pPr>
      <w:r>
        <w:rPr>
          <w:rFonts w:hint="eastAsia"/>
          <w:color w:val="000000"/>
        </w:rPr>
        <w:t>明确范围把握重点。根据“先易后难”的原则，将建成年代较早、失养失修失管、市政配套设施不完善、社会服务设施不健全、居民改造意愿强烈的住宅小区</w:t>
      </w:r>
      <w:r>
        <w:rPr>
          <w:color w:val="000000"/>
        </w:rPr>
        <w:t>(含单栋住宅楼)纳入改造范围，重点改造2000年底前建成的城镇老旧小区。鼓励相近或相连的老旧小区拆除空间障碍，打破空间分割，拓展公共空间，结合实际集中连片改造。全力推进电力通信管廊等市政基础设施改造提升，优先实施水电路气、雨污水管网等市政基础实施及建筑物屋面、外墙、楼梯等公共部位维修的基础类改造。条件具备的可进一步实施电梯加装、车辆停放、建筑节能改造、出入口改造等完善类改</w:t>
      </w:r>
      <w:r>
        <w:rPr>
          <w:rFonts w:hint="eastAsia"/>
          <w:color w:val="000000"/>
        </w:rPr>
        <w:t>造，以及养老、托育、助餐、便民市场等提升类改造。结合城市体检、城市更新行动，完善公共服务配套设施，努力打造步行</w:t>
      </w:r>
      <w:r>
        <w:rPr>
          <w:color w:val="000000"/>
        </w:rPr>
        <w:t>15分钟的完整社区。到2025年，基本完成2000年底前建成的城镇老旧小区改造，稳步推进2001-2005年建成的城镇老旧小区</w:t>
      </w:r>
      <w:r>
        <w:rPr>
          <w:rFonts w:hint="eastAsia"/>
          <w:color w:val="000000"/>
        </w:rPr>
        <w:t>改造</w:t>
      </w:r>
      <w:r>
        <w:rPr>
          <w:color w:val="000000"/>
        </w:rPr>
        <w:t>。</w:t>
      </w:r>
    </w:p>
    <w:p>
      <w:pPr>
        <w:adjustRightInd w:val="0"/>
        <w:snapToGrid w:val="0"/>
        <w:ind w:firstLine="560"/>
        <w:rPr>
          <w:color w:val="000000"/>
        </w:rPr>
      </w:pPr>
      <w:r>
        <w:rPr>
          <w:rFonts w:hint="eastAsia"/>
          <w:color w:val="000000"/>
        </w:rPr>
        <w:t>因地制宜注重方法。坚持“一区一策”、“内外兼修”原则，遵循“功能比景观重要”的改造理念，结合小区自身特点、居民需求、资金预算等情况合理确定改造方案。优先对居民改造意愿强、参与积极性高的城镇老旧小区实施改造。对于拟征收、拟纳入棚户区的房屋和</w:t>
      </w:r>
      <w:r>
        <w:rPr>
          <w:color w:val="000000"/>
        </w:rPr>
        <w:t>D级危房不再纳入改造范围。运用“美好环境与幸福生活共同缔造”的理念，利用成功改造案例，加大宣传力度，变“要我改”为“我要改”，鼓励进行完善类、提升类改造。有效发动居民积极参与，鼓励居民参与方案设计、工程监督、竣工验收和后续管理，增加居民参与感和认同感。</w:t>
      </w:r>
    </w:p>
    <w:p>
      <w:pPr>
        <w:adjustRightInd w:val="0"/>
        <w:snapToGrid w:val="0"/>
        <w:ind w:firstLine="560"/>
        <w:rPr>
          <w:color w:val="000000"/>
        </w:rPr>
      </w:pPr>
      <w:r>
        <w:rPr>
          <w:rFonts w:hint="eastAsia"/>
          <w:color w:val="000000"/>
        </w:rPr>
        <w:t>完善资金筹措机制。尽力而为、量力而行，逐步建立政府与居民、社会力量合理共担机制，积极争取城镇老旧小区改造配套基础设施中央预算内投资，在政府加大投入的基础上，引导居民合理出资，引入社会资本投资。</w:t>
      </w:r>
    </w:p>
    <w:p>
      <w:pPr>
        <w:adjustRightInd w:val="0"/>
        <w:snapToGrid w:val="0"/>
        <w:ind w:firstLine="560"/>
        <w:rPr>
          <w:color w:val="000000"/>
        </w:rPr>
      </w:pPr>
      <w:r>
        <w:rPr>
          <w:rFonts w:hint="eastAsia"/>
          <w:color w:val="000000"/>
        </w:rPr>
        <w:t>注重长效管理和历史文化保护。逐步建立城镇老旧小区改造后维护管理的长效机制，充分发挥基层党组织、业委会在社区自治中的引领作用，创新管理模式。通过引入专业物业服务企业、采取其他管理人管理或业主自治管理的方式，建立物业管理服务机制。逐步建立老旧小区的住房专项维修资金归集、管理、使用和续筹机制，通过业主补缴，推行住房专项维修资金“即交即用”，持续维护老旧小区改造更新效果。改造中注重老旧小区特色文化内涵挖掘，保护保留居民集体记忆，进一步彰显广元特色，延续历史文脉。</w:t>
      </w:r>
    </w:p>
    <w:p>
      <w:pPr>
        <w:pStyle w:val="6"/>
        <w:numPr>
          <w:ilvl w:val="0"/>
          <w:numId w:val="4"/>
        </w:numPr>
        <w:ind w:firstLineChars="0"/>
        <w:rPr>
          <w:color w:val="000000"/>
        </w:rPr>
      </w:pPr>
      <w:bookmarkStart w:id="465" w:name="_Toc118566352"/>
      <w:bookmarkStart w:id="466" w:name="_Toc118566485"/>
      <w:bookmarkStart w:id="467" w:name="_Toc118566752"/>
      <w:bookmarkStart w:id="468" w:name="_Toc118566618"/>
      <w:r>
        <w:rPr>
          <w:color w:val="000000"/>
        </w:rPr>
        <w:t>推进住房公积金制度改革</w:t>
      </w:r>
      <w:bookmarkEnd w:id="465"/>
      <w:bookmarkEnd w:id="466"/>
      <w:bookmarkEnd w:id="467"/>
      <w:bookmarkEnd w:id="468"/>
    </w:p>
    <w:p>
      <w:pPr>
        <w:adjustRightInd w:val="0"/>
        <w:snapToGrid w:val="0"/>
        <w:ind w:left="-15" w:firstLine="560"/>
        <w:rPr>
          <w:color w:val="000000"/>
        </w:rPr>
      </w:pPr>
      <w:r>
        <w:rPr>
          <w:color w:val="000000"/>
        </w:rPr>
        <w:t>进一步扩大受益群体覆盖面。不断完善现有住房公积金体制机制，惠及更多的人群，扩大住房公积金覆盖面。研究调整使用政策，坚持以用促缴，努力增加制度吸引力。研究推广更加灵活的企业、职工缴存机制。</w:t>
      </w:r>
    </w:p>
    <w:p>
      <w:pPr>
        <w:adjustRightInd w:val="0"/>
        <w:snapToGrid w:val="0"/>
        <w:ind w:left="-15" w:firstLine="560"/>
        <w:rPr>
          <w:color w:val="000000"/>
        </w:rPr>
      </w:pPr>
      <w:r>
        <w:rPr>
          <w:color w:val="000000"/>
        </w:rPr>
        <w:t>拓展资金使用渠道。按照“因城施策”的要求，支持新市民、新就业的大学毕业生和中低收入家庭解决住房问题。进一步支持缴存职工提取住房公积金用于老旧小区改造、加装电梯、租房、支付物业费等；研究探索用住房公积金结余资金支持保障性住房建设，支持购租并举的住房制度。全面提升监管水平。补齐监管短板，压实监管责任，综合利用各种手段，充分发挥监管服务平台和电子稽查工具的作用，充分运用信息化手段，实行精准监管，穿透式监管，提高监管效率，实现监管全覆盖。</w:t>
      </w:r>
    </w:p>
    <w:p>
      <w:pPr>
        <w:adjustRightInd w:val="0"/>
        <w:snapToGrid w:val="0"/>
        <w:spacing w:after="4"/>
        <w:ind w:left="-15" w:right="156" w:firstLine="560"/>
        <w:rPr>
          <w:color w:val="000000"/>
        </w:rPr>
      </w:pPr>
      <w:r>
        <w:rPr>
          <w:color w:val="000000"/>
        </w:rPr>
        <w:t>提升管理服务质效。全面开展住房公积金归集、提取、贷款、资金管理、基础数据等业务标准的贯彻落实工作。简化审批流程，减少书面证明，缩短办理时限，逐步提高网办率。</w:t>
      </w:r>
    </w:p>
    <w:p>
      <w:pPr>
        <w:pStyle w:val="6"/>
        <w:numPr>
          <w:ilvl w:val="0"/>
          <w:numId w:val="4"/>
        </w:numPr>
        <w:ind w:firstLineChars="0"/>
        <w:rPr>
          <w:color w:val="000000"/>
        </w:rPr>
      </w:pPr>
      <w:bookmarkStart w:id="469" w:name="_Toc118566486"/>
      <w:bookmarkStart w:id="470" w:name="_Toc118566619"/>
      <w:bookmarkStart w:id="471" w:name="_Toc118566353"/>
      <w:bookmarkStart w:id="472" w:name="_Toc118566753"/>
      <w:r>
        <w:rPr>
          <w:color w:val="000000"/>
        </w:rPr>
        <w:t>提高物业管理服务水平</w:t>
      </w:r>
      <w:bookmarkEnd w:id="469"/>
      <w:bookmarkEnd w:id="470"/>
      <w:bookmarkEnd w:id="471"/>
      <w:bookmarkEnd w:id="472"/>
    </w:p>
    <w:p>
      <w:pPr>
        <w:adjustRightInd w:val="0"/>
        <w:snapToGrid w:val="0"/>
        <w:spacing w:after="155"/>
        <w:ind w:left="-15" w:firstLine="560"/>
        <w:rPr>
          <w:color w:val="000000"/>
        </w:rPr>
      </w:pPr>
      <w:r>
        <w:rPr>
          <w:rFonts w:hint="eastAsia"/>
          <w:color w:val="000000"/>
        </w:rPr>
        <w:t>一是提高物业覆盖和服务水平。坚持新建住宅小区物业服务全覆盖，加快提高城镇老旧小区物业管理覆盖率。完善行业法规和标准，构建以信用为核心的物业服务市场监管体制，强化物业服务事中事后监管机制，进一步加强物业信息公开制度建设。严格执行物业项目招投标制度，探索建立招投标制度与物业企业信用、评优评先挂钩机制。制定《广元市物业管理行业“客户满意度调查”指引》，以业主满意度评价为指引，以康养、避暑地产为重点，提高物业服务水平，支持、引导物业提供“菜单式”服务，促进物业企业转型升级。推行物业服务价格调整机制，加大对群众反应强烈、“质价不符”的物业服务项目的监管力度，依法查处价格违法行为。鼓励有条件的小区提供一站式自助缴费系统、安全检查、家电故障检查等便民服务以及托育、助餐、家政、家电安装维修、商务服务等特约服务。充分发挥维修资金修危修急功能，提高资金使用率，提升专项维修资金使用信息透明度，保障业主知情权、监督权。推动电动自行车车棚建设，持续进行垃圾分类，不断提升人居环境。二是提升服务能力助推基层治理。落实街道属地管理职责，在街道建立健全居住社区综合治理工作制度，建立物业管理工作机制，明确工作目标。推进党建引领社区治理和物业融合共进，完善党建引领社区物业自治机制，加强社区物业党建联建，打造“红色物业”管理体系。推进业主委员会组建工作，培训业主委员会主要工作人员，增强小区自治共治、共建共享能力。建立省、市、县、街道、社区五级物业管理投诉受理制度和物业服务快速处理调解组织体系，及时化解各类矛盾纠纷。提升物业服务公共应急能力，建立联动机制，强化社区风险防范应对，加强物业服务人员应急处理专业知识和专业能力的培训，提升应急处置能力</w:t>
      </w:r>
      <w:r>
        <w:rPr>
          <w:color w:val="000000"/>
        </w:rPr>
        <w:t>。</w:t>
      </w:r>
    </w:p>
    <w:p>
      <w:pPr>
        <w:pStyle w:val="5"/>
        <w:numPr>
          <w:numId w:val="0"/>
        </w:numPr>
        <w:spacing w:before="190"/>
        <w:jc w:val="both"/>
        <w:rPr>
          <w:color w:val="000000"/>
        </w:rPr>
      </w:pPr>
      <w:bookmarkStart w:id="473" w:name="_Toc118566754"/>
      <w:bookmarkStart w:id="474" w:name="_Toc118566354"/>
      <w:bookmarkStart w:id="475" w:name="_Toc119916760"/>
      <w:bookmarkStart w:id="476" w:name="_Toc118566487"/>
      <w:bookmarkStart w:id="477" w:name="_Toc118566620"/>
      <w:r>
        <w:rPr>
          <w:color w:val="000000"/>
        </w:rPr>
        <w:t>二、优化新建商品住房供应</w:t>
      </w:r>
      <w:bookmarkEnd w:id="473"/>
      <w:bookmarkEnd w:id="474"/>
      <w:bookmarkEnd w:id="475"/>
      <w:bookmarkEnd w:id="476"/>
      <w:bookmarkEnd w:id="477"/>
    </w:p>
    <w:p>
      <w:pPr>
        <w:adjustRightInd w:val="0"/>
        <w:snapToGrid w:val="0"/>
        <w:spacing w:after="155"/>
        <w:ind w:left="-15" w:firstLine="560"/>
        <w:rPr>
          <w:color w:val="000000"/>
        </w:rPr>
      </w:pPr>
      <w:r>
        <w:rPr>
          <w:rFonts w:hint="eastAsia"/>
          <w:color w:val="000000"/>
        </w:rPr>
        <w:t>全面完成“一城一策”方案，明确房地产市场中长期发展目标和年度工作目标。市级主管部门指导督促城市落实政策及措施。</w:t>
      </w:r>
    </w:p>
    <w:p>
      <w:pPr>
        <w:pStyle w:val="6"/>
        <w:ind w:firstLine="481" w:firstLineChars="150"/>
        <w:rPr>
          <w:color w:val="000000"/>
        </w:rPr>
      </w:pPr>
      <w:bookmarkStart w:id="478" w:name="_Toc118566488"/>
      <w:bookmarkStart w:id="479" w:name="_Toc118566355"/>
      <w:bookmarkStart w:id="480" w:name="_Toc118566621"/>
      <w:bookmarkStart w:id="481" w:name="_Toc118566755"/>
      <w:r>
        <w:rPr>
          <w:rFonts w:hint="eastAsia"/>
          <w:color w:val="000000"/>
        </w:rPr>
        <w:t>（一）</w:t>
      </w:r>
      <w:r>
        <w:rPr>
          <w:color w:val="000000"/>
        </w:rPr>
        <w:t>促进房地产市场平稳健康发展</w:t>
      </w:r>
      <w:bookmarkEnd w:id="478"/>
      <w:bookmarkEnd w:id="479"/>
      <w:bookmarkEnd w:id="480"/>
      <w:bookmarkEnd w:id="481"/>
    </w:p>
    <w:p>
      <w:pPr>
        <w:adjustRightInd w:val="0"/>
        <w:snapToGrid w:val="0"/>
        <w:ind w:firstLine="560"/>
        <w:rPr>
          <w:color w:val="000000"/>
        </w:rPr>
      </w:pPr>
      <w:r>
        <w:rPr>
          <w:color w:val="000000"/>
        </w:rPr>
        <w:t>以城市住房发展规划为指导，稳定住房供应规模和预期。构建“人</w:t>
      </w:r>
      <w:r>
        <w:rPr>
          <w:rFonts w:ascii="仿宋_GB2312" w:hAnsi="仿宋_GB2312" w:eastAsia="仿宋_GB2312" w:cs="仿宋_GB2312"/>
          <w:color w:val="000000"/>
        </w:rPr>
        <w:t>-</w:t>
      </w:r>
      <w:r>
        <w:rPr>
          <w:color w:val="000000"/>
        </w:rPr>
        <w:t>地</w:t>
      </w:r>
      <w:r>
        <w:rPr>
          <w:rFonts w:ascii="仿宋_GB2312" w:hAnsi="仿宋_GB2312" w:eastAsia="仿宋_GB2312" w:cs="仿宋_GB2312"/>
          <w:color w:val="000000"/>
        </w:rPr>
        <w:t>-</w:t>
      </w:r>
      <w:r>
        <w:rPr>
          <w:color w:val="000000"/>
        </w:rPr>
        <w:t>房”挂钩的联动调节机制，建立科学的供应结构，引导住房供应满足多样化需求。强化住房金融风险管控，坚决遏制投机炒房。严格落实差别化住房信贷政策，严格个人住房贷款审贷管理，加大住房租赁市场融资支持。分类化解问题楼盘，建立和完善防范问题楼盘的制度机制，遏制问题楼盘增量。</w:t>
      </w:r>
    </w:p>
    <w:p>
      <w:pPr>
        <w:adjustRightInd w:val="0"/>
        <w:snapToGrid w:val="0"/>
        <w:ind w:firstLine="560"/>
        <w:rPr>
          <w:color w:val="000000"/>
        </w:rPr>
      </w:pPr>
      <w:r>
        <w:rPr>
          <w:rFonts w:hint="eastAsia"/>
          <w:color w:val="000000"/>
        </w:rPr>
        <w:t>“十三五”期间，全市商品住宅销售面积</w:t>
      </w:r>
      <w:r>
        <w:rPr>
          <w:color w:val="000000"/>
        </w:rPr>
        <w:t>904.23万平方米，年均销售面积181.3万平方米。2020年全市城镇化率为47.04%，低于全省近10个百分点，未来需求潜力较大。随着康养避暑需求不断增长，将形成以普通商品房为主，康养、避暑、养老等特色住宅为辅的二元住房市场供应体系。根据城镇化发展目标及人口发展趋势，综合考虑促进住房健康消费、房地产与实体经济均衡发展有关要求，确定“十四五”期间全市计划供应住房</w:t>
      </w:r>
      <w:r>
        <w:rPr>
          <w:rFonts w:hint="eastAsia"/>
          <w:color w:val="000000"/>
        </w:rPr>
        <w:t>700</w:t>
      </w:r>
      <w:r>
        <w:rPr>
          <w:color w:val="000000"/>
        </w:rPr>
        <w:t>万平方米，年度供应计划以“十四五”供应计划年均供应量为基准，结合各县区库存情况每年初确定。</w:t>
      </w:r>
    </w:p>
    <w:p>
      <w:pPr>
        <w:pStyle w:val="6"/>
        <w:ind w:firstLine="141"/>
        <w:rPr>
          <w:color w:val="000000"/>
        </w:rPr>
      </w:pPr>
      <w:bookmarkStart w:id="482" w:name="_Toc118566756"/>
      <w:bookmarkStart w:id="483" w:name="_Toc118566356"/>
      <w:bookmarkStart w:id="484" w:name="_Toc118566622"/>
      <w:bookmarkStart w:id="485" w:name="_Toc118566489"/>
      <w:r>
        <w:rPr>
          <w:rFonts w:hint="eastAsia"/>
          <w:color w:val="000000"/>
        </w:rPr>
        <w:t>（二）</w:t>
      </w:r>
      <w:r>
        <w:rPr>
          <w:color w:val="000000"/>
        </w:rPr>
        <w:t>优化住房产品品质</w:t>
      </w:r>
      <w:bookmarkEnd w:id="482"/>
      <w:bookmarkEnd w:id="483"/>
      <w:bookmarkEnd w:id="484"/>
      <w:bookmarkEnd w:id="485"/>
    </w:p>
    <w:p>
      <w:pPr>
        <w:adjustRightInd w:val="0"/>
        <w:snapToGrid w:val="0"/>
        <w:ind w:left="-15" w:firstLine="560"/>
        <w:rPr>
          <w:color w:val="000000"/>
        </w:rPr>
      </w:pPr>
      <w:r>
        <w:rPr>
          <w:color w:val="000000"/>
        </w:rPr>
        <w:t>优化住房供应布局。新建住房优先布局在交通便捷、就业机会多、生活配套完善的区域，完善周边教育、医疗等公共服务配套。合理控制居住区规模、容积率等规划指标，居住组团周边适度增加产业用地供应，增强居住区绿地和公共开放空间可达性，创造人文的、舒适的居住生活环境。创新低密度产品供给种类和数量，打造与环境相适宜并具有地方特色的建筑景观。</w:t>
      </w:r>
    </w:p>
    <w:p>
      <w:pPr>
        <w:adjustRightInd w:val="0"/>
        <w:snapToGrid w:val="0"/>
        <w:ind w:left="-15" w:firstLine="560"/>
        <w:rPr>
          <w:color w:val="000000"/>
        </w:rPr>
      </w:pPr>
      <w:r>
        <w:rPr>
          <w:color w:val="000000"/>
        </w:rPr>
        <w:t>优化住宅产品结构。大力发展绿色住宅、智慧住宅，鼓励打造精品化、多样化住宅产品，支持住房改善和品质提升。推广应用绿色建材等新型绿色环保材料，积极推动住宅产业化规模化发展，因地制宜发展装配式建筑。创新住宅产品类型，促进住房市场与城市现代服务业共同发展，满足个性化、多层次居住需求。</w:t>
      </w:r>
    </w:p>
    <w:p>
      <w:pPr>
        <w:pStyle w:val="5"/>
        <w:numPr>
          <w:numId w:val="0"/>
        </w:numPr>
        <w:spacing w:before="190"/>
        <w:jc w:val="both"/>
        <w:rPr>
          <w:color w:val="000000"/>
        </w:rPr>
      </w:pPr>
      <w:bookmarkStart w:id="486" w:name="_Toc119916761"/>
      <w:bookmarkStart w:id="487" w:name="_Toc118566490"/>
      <w:bookmarkStart w:id="488" w:name="_Toc118566757"/>
      <w:bookmarkStart w:id="489" w:name="_Toc118566623"/>
      <w:bookmarkStart w:id="490" w:name="_Toc118566357"/>
      <w:r>
        <w:rPr>
          <w:color w:val="000000"/>
        </w:rPr>
        <w:t>三、推进农房建设现代化</w:t>
      </w:r>
      <w:bookmarkEnd w:id="486"/>
      <w:bookmarkEnd w:id="487"/>
      <w:bookmarkEnd w:id="488"/>
      <w:bookmarkEnd w:id="489"/>
      <w:bookmarkEnd w:id="490"/>
    </w:p>
    <w:p>
      <w:pPr>
        <w:pStyle w:val="6"/>
        <w:ind w:firstLine="141"/>
        <w:rPr>
          <w:color w:val="000000"/>
        </w:rPr>
      </w:pPr>
      <w:bookmarkStart w:id="491" w:name="_Toc118566758"/>
      <w:bookmarkStart w:id="492" w:name="_Toc118566491"/>
      <w:bookmarkStart w:id="493" w:name="_Toc118566624"/>
      <w:bookmarkStart w:id="494" w:name="_Toc118566358"/>
      <w:r>
        <w:rPr>
          <w:rFonts w:hint="eastAsia"/>
          <w:color w:val="000000"/>
        </w:rPr>
        <w:t>（一）</w:t>
      </w:r>
      <w:r>
        <w:rPr>
          <w:color w:val="000000"/>
        </w:rPr>
        <w:t>建立农村低收入群体住房保障机制</w:t>
      </w:r>
      <w:bookmarkEnd w:id="491"/>
      <w:bookmarkEnd w:id="492"/>
      <w:bookmarkEnd w:id="493"/>
      <w:bookmarkEnd w:id="494"/>
    </w:p>
    <w:p>
      <w:pPr>
        <w:adjustRightInd w:val="0"/>
        <w:snapToGrid w:val="0"/>
        <w:ind w:left="-15" w:firstLine="560"/>
        <w:rPr>
          <w:color w:val="000000"/>
        </w:rPr>
      </w:pPr>
      <w:r>
        <w:rPr>
          <w:color w:val="000000"/>
        </w:rPr>
        <w:t>持续巩固拓展脱贫攻坚成果，实施农村脱贫人口住房安全动态监测，继续推动农房抗震改造，及时解决所发现的不安全问题。继续实施农村危房改造，适当扩大对象范围，让更多困难群众享受农房建设政策红利。开发农房危房改造“一卡通”阳光审批系统，规范农村危房改造程序。加强农村土坯房改造技术指导，完成土坯房改造任务，着力改善一般困难群众的居住条件。大力支持农村困难残疾人家庭无障碍设施改造。以困难重度残疾人为重点，在农村危房改造、农房风貌整治提升试点、农村厕所革命、农村用能革新等工作中，对有需求的残疾人统筹实施家庭无障碍改造。探索通过新建住宅、改造现有住宅、建设集体公租房等形式，建立健全农村低收入群体住房安全保障长效机制。</w:t>
      </w:r>
    </w:p>
    <w:p>
      <w:pPr>
        <w:pStyle w:val="6"/>
        <w:ind w:firstLine="141"/>
        <w:rPr>
          <w:color w:val="000000"/>
        </w:rPr>
      </w:pPr>
      <w:bookmarkStart w:id="495" w:name="_Toc118566359"/>
      <w:bookmarkStart w:id="496" w:name="_Toc118566625"/>
      <w:bookmarkStart w:id="497" w:name="_Toc118566759"/>
      <w:bookmarkStart w:id="498" w:name="_Toc118566492"/>
      <w:r>
        <w:rPr>
          <w:rFonts w:hint="eastAsia"/>
          <w:color w:val="000000"/>
        </w:rPr>
        <w:t>（二）</w:t>
      </w:r>
      <w:r>
        <w:rPr>
          <w:color w:val="000000"/>
        </w:rPr>
        <w:t>开展农村房屋安全隐患整治</w:t>
      </w:r>
      <w:bookmarkEnd w:id="495"/>
      <w:bookmarkEnd w:id="496"/>
      <w:bookmarkEnd w:id="497"/>
      <w:bookmarkEnd w:id="498"/>
    </w:p>
    <w:p>
      <w:pPr>
        <w:adjustRightInd w:val="0"/>
        <w:snapToGrid w:val="0"/>
        <w:spacing w:after="188"/>
        <w:ind w:left="-15" w:firstLine="560"/>
        <w:rPr>
          <w:color w:val="000000"/>
        </w:rPr>
      </w:pPr>
      <w:r>
        <w:rPr>
          <w:color w:val="000000"/>
        </w:rPr>
        <w:t>扎实开展农村房屋安全隐患排查整治工作，在全面完成摸底排查和评估鉴定的基础上，科学制定分类处置措施，推进问题整治工作。按照“管行业必须管安全、管业务必须管安全、管生产经营必须管安全”“谁审批、谁监管”的要求，明确相关部门职责，建立农村房屋安全监管机制。</w:t>
      </w:r>
    </w:p>
    <w:p>
      <w:pPr>
        <w:pStyle w:val="6"/>
        <w:ind w:firstLine="141"/>
        <w:rPr>
          <w:color w:val="000000"/>
        </w:rPr>
      </w:pPr>
      <w:bookmarkStart w:id="499" w:name="_Toc118566626"/>
      <w:bookmarkStart w:id="500" w:name="_Toc118566360"/>
      <w:bookmarkStart w:id="501" w:name="_Toc118566760"/>
      <w:bookmarkStart w:id="502" w:name="_Toc118566493"/>
      <w:r>
        <w:rPr>
          <w:rFonts w:hint="eastAsia"/>
          <w:color w:val="000000"/>
        </w:rPr>
        <w:t>（三）</w:t>
      </w:r>
      <w:r>
        <w:rPr>
          <w:color w:val="000000"/>
        </w:rPr>
        <w:t>提升农房设计建造水平</w:t>
      </w:r>
      <w:bookmarkEnd w:id="499"/>
      <w:bookmarkEnd w:id="500"/>
      <w:bookmarkEnd w:id="501"/>
      <w:bookmarkEnd w:id="502"/>
    </w:p>
    <w:p>
      <w:pPr>
        <w:adjustRightInd w:val="0"/>
        <w:snapToGrid w:val="0"/>
        <w:ind w:firstLine="560"/>
        <w:rPr>
          <w:color w:val="000000"/>
        </w:rPr>
      </w:pPr>
      <w:r>
        <w:rPr>
          <w:color w:val="000000"/>
        </w:rPr>
        <w:t>探索农村建筑工匠信息化管理服务新模式，壮大乡村振兴建筑产业人才队伍，提高农房设计和建造水平，加强农村建筑工匠培训，着力培养一批农房建设技术领头人，发展一批“小、特、专”的施工队伍。积极推广现代夯土和装配式等绿色节能的农房建设，增强示范效益，加大现代夯土、钢结构、装配式混凝土农房建设技术推进力度，推广宜居型示范性农房建设试点，建成一批“功能现代、结构安全、风貌乡土、成本经济、绿色环保”的宜居型示范农房。完善农村住房管理机制，明确农房建设管理流程，强化建设标准实施监督。推动数字农房管理服务一体化平台建设，动态管理农房建设情况、结构现状、使用状况、利用需求等重要信息。</w:t>
      </w:r>
    </w:p>
    <w:p>
      <w:pPr>
        <w:pStyle w:val="4"/>
        <w:ind w:firstLine="883"/>
        <w:rPr>
          <w:rFonts w:ascii="宋体" w:hAnsi="宋体"/>
          <w:color w:val="000000"/>
        </w:rPr>
      </w:pPr>
      <w:bookmarkStart w:id="503" w:name="_Toc118566361"/>
      <w:bookmarkStart w:id="504" w:name="_Toc118566761"/>
      <w:bookmarkStart w:id="505" w:name="_Toc119916762"/>
      <w:bookmarkStart w:id="506" w:name="_Toc118566627"/>
      <w:bookmarkStart w:id="507" w:name="_Toc118566494"/>
      <w:bookmarkStart w:id="508" w:name="_Toc97218874"/>
      <w:r>
        <w:rPr>
          <w:rFonts w:hint="eastAsia" w:ascii="宋体" w:hAnsi="宋体"/>
          <w:color w:val="000000"/>
        </w:rPr>
        <w:t>第七章 保护传承历史文化</w:t>
      </w:r>
      <w:bookmarkEnd w:id="503"/>
      <w:bookmarkEnd w:id="504"/>
      <w:bookmarkEnd w:id="505"/>
      <w:bookmarkEnd w:id="506"/>
      <w:bookmarkEnd w:id="507"/>
    </w:p>
    <w:p>
      <w:pPr>
        <w:pStyle w:val="5"/>
        <w:numPr>
          <w:numId w:val="0"/>
        </w:numPr>
        <w:spacing w:before="190"/>
        <w:jc w:val="both"/>
        <w:rPr>
          <w:color w:val="000000"/>
        </w:rPr>
      </w:pPr>
      <w:bookmarkStart w:id="509" w:name="_Toc118566362"/>
      <w:bookmarkStart w:id="510" w:name="_Toc118566495"/>
      <w:bookmarkStart w:id="511" w:name="_Toc119916763"/>
      <w:bookmarkStart w:id="512" w:name="_Toc118566762"/>
      <w:bookmarkStart w:id="513" w:name="_Toc118566628"/>
      <w:r>
        <w:rPr>
          <w:color w:val="000000"/>
        </w:rPr>
        <w:t>一、构建历史文化保护传承体系</w:t>
      </w:r>
      <w:bookmarkEnd w:id="509"/>
      <w:bookmarkEnd w:id="510"/>
      <w:bookmarkEnd w:id="511"/>
      <w:bookmarkEnd w:id="512"/>
      <w:bookmarkEnd w:id="513"/>
      <w:r>
        <w:rPr>
          <w:color w:val="000000"/>
        </w:rPr>
        <w:t xml:space="preserve"> </w:t>
      </w:r>
    </w:p>
    <w:p>
      <w:pPr>
        <w:pStyle w:val="6"/>
        <w:ind w:firstLine="141"/>
        <w:rPr>
          <w:color w:val="000000"/>
        </w:rPr>
      </w:pPr>
      <w:bookmarkStart w:id="514" w:name="_Toc118566763"/>
      <w:bookmarkStart w:id="515" w:name="_Toc118566496"/>
      <w:bookmarkStart w:id="516" w:name="_Toc118566629"/>
      <w:bookmarkStart w:id="517" w:name="_Toc118566363"/>
      <w:r>
        <w:rPr>
          <w:rFonts w:hint="eastAsia"/>
          <w:color w:val="000000"/>
        </w:rPr>
        <w:t>（一）</w:t>
      </w:r>
      <w:r>
        <w:rPr>
          <w:color w:val="000000"/>
        </w:rPr>
        <w:t>构建历史文化传承体系</w:t>
      </w:r>
      <w:bookmarkEnd w:id="514"/>
      <w:bookmarkEnd w:id="515"/>
      <w:bookmarkEnd w:id="516"/>
      <w:bookmarkEnd w:id="517"/>
    </w:p>
    <w:p>
      <w:pPr>
        <w:adjustRightInd w:val="0"/>
        <w:snapToGrid w:val="0"/>
        <w:ind w:left="-17" w:firstLine="560"/>
        <w:rPr>
          <w:color w:val="000000"/>
        </w:rPr>
      </w:pPr>
      <w:r>
        <w:rPr>
          <w:color w:val="000000"/>
        </w:rPr>
        <w:t>落实《关于在城乡建设中加强历史文化保护传承的意见》，严格保护城市历史文化遗产，摸清资源家底，全面开展全市历史文化资源普查、认定和挂牌工作。城乡历史文化保护传承体系保护对象主要包括历史文化名城、名镇、名村（传统村落）、街区和不可移动文物、历史建筑、历史地段，与工业遗产、农业文化遗产、灌溉工程遗产、非物质文化遗产、地名文化遗产等保护传承共同构成的有机整体，初步构建多层级、多要素的城乡历史文化传承体系。</w:t>
      </w:r>
    </w:p>
    <w:p>
      <w:pPr>
        <w:pStyle w:val="6"/>
        <w:ind w:firstLine="141"/>
        <w:rPr>
          <w:color w:val="000000"/>
        </w:rPr>
      </w:pPr>
      <w:bookmarkStart w:id="518" w:name="_Toc118566497"/>
      <w:bookmarkStart w:id="519" w:name="_Toc118566764"/>
      <w:bookmarkStart w:id="520" w:name="_Toc118566364"/>
      <w:bookmarkStart w:id="521" w:name="_Toc118566630"/>
      <w:r>
        <w:rPr>
          <w:rFonts w:hint="eastAsia"/>
          <w:color w:val="000000"/>
        </w:rPr>
        <w:t>（二）</w:t>
      </w:r>
      <w:r>
        <w:rPr>
          <w:color w:val="000000"/>
        </w:rPr>
        <w:t>分级落实保护传承体系重点任务</w:t>
      </w:r>
      <w:bookmarkEnd w:id="518"/>
      <w:bookmarkEnd w:id="519"/>
      <w:bookmarkEnd w:id="520"/>
      <w:bookmarkEnd w:id="521"/>
    </w:p>
    <w:p>
      <w:pPr>
        <w:adjustRightInd w:val="0"/>
        <w:snapToGrid w:val="0"/>
        <w:ind w:left="-15" w:firstLine="560"/>
        <w:rPr>
          <w:color w:val="000000"/>
        </w:rPr>
      </w:pPr>
      <w:r>
        <w:rPr>
          <w:color w:val="000000"/>
        </w:rPr>
        <w:t>建立城乡历史文化保护传承体系三级管理体制。全市按照国家和省</w:t>
      </w:r>
      <w:r>
        <w:rPr>
          <w:rFonts w:hint="eastAsia"/>
          <w:color w:val="000000"/>
        </w:rPr>
        <w:t>上</w:t>
      </w:r>
      <w:r>
        <w:rPr>
          <w:color w:val="000000"/>
        </w:rPr>
        <w:t>要求，落实保护传承工作属地责任，加快认定公布市县级保护对象，及时对各类保护对象设立标志牌、开展数字化信息采集和测绘建档、编制专项保护方案，制定保护传承管理办法，做好保护传承工作。具有重要保护价值、地方长期未申报的历史文化资源可按相关标准列入保护名录。</w:t>
      </w:r>
    </w:p>
    <w:p>
      <w:pPr>
        <w:pStyle w:val="6"/>
        <w:ind w:firstLine="141"/>
        <w:rPr>
          <w:color w:val="000000"/>
        </w:rPr>
      </w:pPr>
      <w:bookmarkStart w:id="522" w:name="_Toc118566365"/>
      <w:bookmarkStart w:id="523" w:name="_Toc118566765"/>
      <w:bookmarkStart w:id="524" w:name="_Toc118566498"/>
      <w:bookmarkStart w:id="525" w:name="_Toc118566631"/>
      <w:r>
        <w:rPr>
          <w:rFonts w:hint="eastAsia"/>
          <w:color w:val="000000"/>
        </w:rPr>
        <w:t>（三）</w:t>
      </w:r>
      <w:r>
        <w:rPr>
          <w:color w:val="000000"/>
        </w:rPr>
        <w:t>建立非遗传承系统</w:t>
      </w:r>
      <w:bookmarkEnd w:id="522"/>
      <w:bookmarkEnd w:id="523"/>
      <w:bookmarkEnd w:id="524"/>
      <w:bookmarkEnd w:id="525"/>
    </w:p>
    <w:p>
      <w:pPr>
        <w:adjustRightInd w:val="0"/>
        <w:snapToGrid w:val="0"/>
        <w:ind w:left="-17" w:firstLine="560"/>
        <w:rPr>
          <w:color w:val="000000"/>
        </w:rPr>
      </w:pPr>
      <w:r>
        <w:rPr>
          <w:color w:val="000000"/>
        </w:rPr>
        <w:t>加强非物质文化遗产调查和记录，对历史文化价值高、传承困难的濒危项目和代表性传承人进行拯救性记录，完善非遗资源数据库，对已有非遗档案进行数字化转换。深入挖掘、充分认识非物质文化遗产内涵，在普查的基础上整理记录，充实历史文化保护传承系统。重点加强对民间文学、传统音乐、传统舞蹈、传统戏曲、传统体育、传统美术、传统技艺、传统医药、民俗等方面非物质文化的挖掘收集、调查整理和申报工作。运用</w:t>
      </w:r>
      <w:r>
        <w:rPr>
          <w:rFonts w:ascii="仿宋_GB2312" w:hAnsi="仿宋_GB2312" w:eastAsia="仿宋_GB2312" w:cs="仿宋_GB2312"/>
          <w:color w:val="000000"/>
        </w:rPr>
        <w:t>5G</w:t>
      </w:r>
      <w:r>
        <w:rPr>
          <w:color w:val="000000"/>
        </w:rPr>
        <w:t>、大数据、云计算等科技手段，推动非遗资源、数据社会共享。恢复和保护非物质文化遗产的物质载体，通过设立各类文化空间活态展示非物质文化遗产，结合历史文化街区、文物古迹的保护，促进非物质文化遗产的传承。</w:t>
      </w:r>
    </w:p>
    <w:p>
      <w:pPr>
        <w:pStyle w:val="5"/>
        <w:numPr>
          <w:numId w:val="0"/>
        </w:numPr>
        <w:spacing w:before="190"/>
        <w:jc w:val="both"/>
        <w:rPr>
          <w:color w:val="000000"/>
        </w:rPr>
      </w:pPr>
      <w:bookmarkStart w:id="526" w:name="_Toc118566366"/>
      <w:bookmarkStart w:id="527" w:name="_Toc118566499"/>
      <w:bookmarkStart w:id="528" w:name="_Toc118566766"/>
      <w:bookmarkStart w:id="529" w:name="_Toc119916764"/>
      <w:bookmarkStart w:id="530" w:name="_Toc118566632"/>
      <w:r>
        <w:rPr>
          <w:rFonts w:hint="eastAsia"/>
          <w:color w:val="000000"/>
        </w:rPr>
        <w:t>二、保护历史文化遗产</w:t>
      </w:r>
      <w:bookmarkEnd w:id="526"/>
      <w:bookmarkEnd w:id="527"/>
      <w:bookmarkEnd w:id="528"/>
      <w:bookmarkEnd w:id="529"/>
      <w:bookmarkEnd w:id="530"/>
    </w:p>
    <w:p>
      <w:pPr>
        <w:pStyle w:val="6"/>
        <w:ind w:firstLine="141"/>
        <w:rPr>
          <w:color w:val="000000"/>
        </w:rPr>
      </w:pPr>
      <w:bookmarkStart w:id="531" w:name="_Toc118566767"/>
      <w:bookmarkStart w:id="532" w:name="_Toc118566633"/>
      <w:bookmarkStart w:id="533" w:name="_Toc118566500"/>
      <w:bookmarkStart w:id="534" w:name="_Toc118566367"/>
      <w:r>
        <w:rPr>
          <w:rFonts w:hint="eastAsia"/>
          <w:color w:val="000000"/>
        </w:rPr>
        <w:t>（一）现有历史城镇以及历史村落</w:t>
      </w:r>
      <w:bookmarkEnd w:id="531"/>
      <w:bookmarkEnd w:id="532"/>
      <w:bookmarkEnd w:id="533"/>
      <w:bookmarkEnd w:id="534"/>
    </w:p>
    <w:p>
      <w:pPr>
        <w:adjustRightInd w:val="0"/>
        <w:snapToGrid w:val="0"/>
        <w:ind w:firstLine="560"/>
        <w:rPr>
          <w:rFonts w:ascii="宋体" w:hAnsi="宋体"/>
          <w:color w:val="000000"/>
        </w:rPr>
      </w:pPr>
      <w:r>
        <w:rPr>
          <w:rFonts w:ascii="宋体" w:hAnsi="宋体"/>
          <w:color w:val="000000"/>
        </w:rPr>
        <w:t>1</w:t>
      </w:r>
      <w:r>
        <w:rPr>
          <w:rFonts w:hint="eastAsia" w:ascii="宋体" w:hAnsi="宋体"/>
          <w:color w:val="000000"/>
        </w:rPr>
        <w:t>.</w:t>
      </w:r>
      <w:r>
        <w:rPr>
          <w:rFonts w:ascii="宋体" w:hAnsi="宋体"/>
          <w:color w:val="000000"/>
        </w:rPr>
        <w:t>历史名城</w:t>
      </w:r>
    </w:p>
    <w:p>
      <w:pPr>
        <w:adjustRightInd w:val="0"/>
        <w:snapToGrid w:val="0"/>
        <w:ind w:firstLine="560"/>
        <w:rPr>
          <w:rFonts w:ascii="宋体" w:hAnsi="宋体"/>
          <w:color w:val="000000"/>
        </w:rPr>
      </w:pPr>
      <w:r>
        <w:rPr>
          <w:rFonts w:hint="eastAsia" w:ascii="宋体" w:hAnsi="宋体"/>
          <w:color w:val="000000"/>
        </w:rPr>
        <w:t>广元市域范围内现有省级历史文化名城有</w:t>
      </w:r>
      <w:r>
        <w:rPr>
          <w:rFonts w:ascii="宋体" w:hAnsi="宋体"/>
          <w:color w:val="000000"/>
        </w:rPr>
        <w:t xml:space="preserve"> 3</w:t>
      </w:r>
      <w:r>
        <w:rPr>
          <w:rFonts w:hint="eastAsia" w:ascii="宋体" w:hAnsi="宋体"/>
          <w:color w:val="000000"/>
        </w:rPr>
        <w:t>个，分布为广元古城（省级）、旺苍县城（省级）和普安镇（省级）。旺苍县针对红军城及木门镇进行相应的保护、修缮及旅游开发，目前现状良好，但也存在城市蔓延发展，破坏传统风貌的情况。剑阁县普安镇古城整体风貌较差，古城风貌被城镇化建设侵蚀现象严重；</w:t>
      </w:r>
    </w:p>
    <w:p>
      <w:pPr>
        <w:adjustRightInd w:val="0"/>
        <w:snapToGrid w:val="0"/>
        <w:ind w:firstLine="560"/>
        <w:rPr>
          <w:rFonts w:ascii="宋体" w:hAnsi="宋体"/>
          <w:color w:val="000000"/>
        </w:rPr>
      </w:pPr>
      <w:r>
        <w:rPr>
          <w:rFonts w:ascii="宋体" w:hAnsi="宋体"/>
          <w:color w:val="000000"/>
        </w:rPr>
        <w:t>2</w:t>
      </w:r>
      <w:r>
        <w:rPr>
          <w:rFonts w:hint="eastAsia" w:ascii="宋体" w:hAnsi="宋体"/>
          <w:color w:val="000000"/>
        </w:rPr>
        <w:t>.</w:t>
      </w:r>
      <w:r>
        <w:rPr>
          <w:rFonts w:ascii="宋体" w:hAnsi="宋体"/>
          <w:color w:val="000000"/>
        </w:rPr>
        <w:t>历史名镇</w:t>
      </w:r>
    </w:p>
    <w:p>
      <w:pPr>
        <w:adjustRightInd w:val="0"/>
        <w:snapToGrid w:val="0"/>
        <w:ind w:firstLine="560"/>
        <w:rPr>
          <w:rFonts w:ascii="宋体" w:hAnsi="宋体"/>
          <w:color w:val="000000"/>
        </w:rPr>
      </w:pPr>
      <w:r>
        <w:rPr>
          <w:rFonts w:hint="eastAsia" w:ascii="宋体" w:hAnsi="宋体"/>
          <w:color w:val="000000"/>
        </w:rPr>
        <w:t>广元市域范围内现有历史文化名镇</w:t>
      </w:r>
      <w:r>
        <w:rPr>
          <w:rFonts w:ascii="宋体" w:hAnsi="宋体"/>
          <w:color w:val="000000"/>
        </w:rPr>
        <w:t xml:space="preserve"> 3 处，分别是国家级历史文化名镇昭化古城、省</w:t>
      </w:r>
      <w:r>
        <w:rPr>
          <w:rFonts w:hint="eastAsia" w:ascii="宋体" w:hAnsi="宋体"/>
          <w:color w:val="000000"/>
        </w:rPr>
        <w:t>级历史文化名镇木门镇以及市级历史文化名镇青川县青溪古城。其中，木门镇没有针对古镇、文物进行相关管理，目前古镇及相关文物没有得到任何利用和保护，古镇风貌日渐被城镇化建设侵蚀；青溪古城目前为开放性景区，已开展一定的保护、利用措施，现状风貌保持较好。</w:t>
      </w:r>
    </w:p>
    <w:p>
      <w:pPr>
        <w:adjustRightInd w:val="0"/>
        <w:snapToGrid w:val="0"/>
        <w:ind w:firstLine="560"/>
        <w:rPr>
          <w:rFonts w:hint="eastAsia" w:ascii="宋体" w:hAnsi="宋体"/>
        </w:rPr>
      </w:pPr>
      <w:r>
        <w:rPr>
          <w:rFonts w:hint="eastAsia" w:ascii="宋体" w:hAnsi="宋体"/>
        </w:rPr>
        <w:t>3.传统村落</w:t>
      </w:r>
    </w:p>
    <w:p>
      <w:pPr>
        <w:adjustRightInd w:val="0"/>
        <w:snapToGrid w:val="0"/>
        <w:ind w:firstLine="560"/>
        <w:rPr>
          <w:rFonts w:ascii="宋体" w:hAnsi="宋体"/>
        </w:rPr>
      </w:pPr>
      <w:r>
        <w:rPr>
          <w:rFonts w:hint="eastAsia" w:ascii="宋体" w:hAnsi="宋体"/>
        </w:rPr>
        <w:t>全市范围内传统村落98个。其中：国家级传统村落31个，省级传统村落58个，市级传统村落9个。绝大多数传统村落未加利用、开发，处于自发生长的状态，仅国家级31个及部分省级传统村落（15个）编制有保护规划外，其他大部分未编制保护规划。由于缺乏统一管理，外加村民自身保护意识薄弱，传统村落中的传统建筑拆除及毁损现象比较普遍。</w:t>
      </w:r>
    </w:p>
    <w:p>
      <w:pPr>
        <w:pStyle w:val="6"/>
        <w:ind w:firstLine="141"/>
        <w:rPr>
          <w:color w:val="000000"/>
        </w:rPr>
      </w:pPr>
      <w:bookmarkStart w:id="535" w:name="_Toc114338215"/>
      <w:bookmarkEnd w:id="535"/>
      <w:bookmarkStart w:id="536" w:name="_Toc114338774"/>
      <w:bookmarkEnd w:id="536"/>
      <w:bookmarkStart w:id="537" w:name="_Toc114338664"/>
      <w:bookmarkEnd w:id="537"/>
      <w:bookmarkStart w:id="538" w:name="_Toc114338385"/>
      <w:bookmarkEnd w:id="538"/>
      <w:bookmarkStart w:id="539" w:name="_Toc114338884"/>
      <w:bookmarkEnd w:id="539"/>
      <w:bookmarkStart w:id="540" w:name="_Toc114337928"/>
      <w:bookmarkEnd w:id="540"/>
      <w:bookmarkStart w:id="541" w:name="_Toc114338554"/>
      <w:bookmarkEnd w:id="541"/>
      <w:bookmarkStart w:id="542" w:name="_Toc114338102"/>
      <w:bookmarkEnd w:id="542"/>
      <w:bookmarkStart w:id="543" w:name="_Toc118566634"/>
      <w:bookmarkStart w:id="544" w:name="_Toc118566768"/>
      <w:bookmarkStart w:id="545" w:name="_Toc118566368"/>
      <w:bookmarkStart w:id="546" w:name="_Toc118566501"/>
      <w:r>
        <w:rPr>
          <w:rFonts w:hint="eastAsia"/>
          <w:color w:val="000000"/>
        </w:rPr>
        <w:t>（二）</w:t>
      </w:r>
      <w:r>
        <w:rPr>
          <w:color w:val="000000"/>
        </w:rPr>
        <w:t>保护要求与策略</w:t>
      </w:r>
      <w:bookmarkEnd w:id="543"/>
      <w:bookmarkEnd w:id="544"/>
      <w:bookmarkEnd w:id="545"/>
      <w:bookmarkEnd w:id="546"/>
    </w:p>
    <w:p>
      <w:pPr>
        <w:adjustRightInd w:val="0"/>
        <w:snapToGrid w:val="0"/>
        <w:ind w:firstLine="560"/>
        <w:rPr>
          <w:rFonts w:ascii="宋体" w:hAnsi="宋体"/>
          <w:color w:val="000000"/>
        </w:rPr>
      </w:pPr>
      <w:r>
        <w:rPr>
          <w:rFonts w:ascii="宋体" w:hAnsi="宋体"/>
          <w:color w:val="000000"/>
        </w:rPr>
        <w:t>1.历史城镇</w:t>
      </w:r>
    </w:p>
    <w:p>
      <w:pPr>
        <w:adjustRightInd w:val="0"/>
        <w:snapToGrid w:val="0"/>
        <w:ind w:firstLine="560"/>
        <w:rPr>
          <w:rFonts w:ascii="宋体" w:hAnsi="宋体"/>
          <w:color w:val="000000"/>
        </w:rPr>
      </w:pPr>
      <w:r>
        <w:rPr>
          <w:rFonts w:hint="eastAsia" w:ascii="宋体" w:hAnsi="宋体"/>
          <w:color w:val="000000"/>
        </w:rPr>
        <w:t>历史名城的保护要与利用相结合，尽快编制相关名城保护规划，并依照规划进行相关要素的保护与修复，并针对镇内群众进行名镇历史文化的相关宣传引导工作，激发群众自发保护意识。</w:t>
      </w:r>
    </w:p>
    <w:p>
      <w:pPr>
        <w:adjustRightInd w:val="0"/>
        <w:snapToGrid w:val="0"/>
        <w:ind w:firstLine="560"/>
        <w:rPr>
          <w:rFonts w:ascii="宋体" w:hAnsi="宋体"/>
          <w:color w:val="000000"/>
        </w:rPr>
      </w:pPr>
      <w:r>
        <w:rPr>
          <w:rFonts w:ascii="宋体" w:hAnsi="宋体"/>
          <w:color w:val="000000"/>
        </w:rPr>
        <w:t>2.历史村落</w:t>
      </w:r>
    </w:p>
    <w:p>
      <w:pPr>
        <w:adjustRightInd w:val="0"/>
        <w:snapToGrid w:val="0"/>
        <w:ind w:firstLine="560"/>
        <w:rPr>
          <w:rFonts w:ascii="宋体" w:hAnsi="宋体"/>
          <w:color w:val="000000"/>
        </w:rPr>
      </w:pPr>
      <w:r>
        <w:rPr>
          <w:rFonts w:hint="eastAsia" w:ascii="宋体" w:hAnsi="宋体"/>
          <w:color w:val="000000"/>
        </w:rPr>
        <w:t>在规划上，严格按照《历史文化名城名镇名村保护条例》、《关于切实加强中国传统村落保护的指导意见》等相关要求，对已公布的名镇名村和传统村落进行保护，对于目前尚未编制保护规划的名镇名村和传统村落，应尽快组织编制其相关保护规划。优先将保护现状良好的传统村落、历史村落纳入到广元市域旅游线路当中，进行适当的开发、利用。在实施上，尽快完善传统村落保护的法律保障系统，制定村落修缮标准。借鉴北京案例，尽快研究出台《广元市传统村落保护指导意见》和《广元市传统村落保护条例》，完善传统村落的法律保障；研究制定《广元市传统村落修缮技术指导意见》，界定传统建筑的分类标准，规范村民修缮、结构安全等的修缮标准。另外，村庄发展上层设计结合村庄实际情况，针对传统村落特色，实行“一村一规划，一村一设计”，严格限制村落核心保护区的改、扩建等措施。在宣传上，面向村民传达村落人文价值，激发农民自身的保护利用意识。结合加快推进传统村落的申报与保护工作，建议先期推进</w:t>
      </w:r>
      <w:r>
        <w:rPr>
          <w:rFonts w:ascii="宋体" w:hAnsi="宋体"/>
          <w:color w:val="000000"/>
        </w:rPr>
        <w:t xml:space="preserve"> 27 个传统村落的申报，以利于更广泛</w:t>
      </w:r>
      <w:r>
        <w:rPr>
          <w:rFonts w:hint="eastAsia" w:ascii="宋体" w:hAnsi="宋体"/>
          <w:color w:val="000000"/>
        </w:rPr>
        <w:t>地传播和保护村落价值。</w:t>
      </w:r>
    </w:p>
    <w:p>
      <w:pPr>
        <w:adjustRightInd w:val="0"/>
        <w:snapToGrid w:val="0"/>
        <w:ind w:firstLine="560"/>
        <w:rPr>
          <w:rFonts w:ascii="宋体" w:hAnsi="宋体"/>
          <w:color w:val="000000"/>
        </w:rPr>
      </w:pPr>
    </w:p>
    <w:p>
      <w:pPr>
        <w:adjustRightInd w:val="0"/>
        <w:snapToGrid w:val="0"/>
        <w:ind w:firstLine="560"/>
        <w:rPr>
          <w:rFonts w:ascii="宋体" w:hAnsi="宋体"/>
          <w:color w:val="000000"/>
        </w:rPr>
      </w:pPr>
    </w:p>
    <w:p>
      <w:pPr>
        <w:adjustRightInd w:val="0"/>
        <w:snapToGrid w:val="0"/>
        <w:ind w:firstLine="560"/>
        <w:rPr>
          <w:rFonts w:ascii="宋体" w:hAnsi="宋体"/>
          <w:color w:val="000000"/>
        </w:rPr>
      </w:pPr>
    </w:p>
    <w:p>
      <w:pPr>
        <w:adjustRightInd w:val="0"/>
        <w:snapToGrid w:val="0"/>
        <w:ind w:firstLine="560"/>
        <w:rPr>
          <w:rFonts w:ascii="宋体" w:hAnsi="宋体"/>
          <w:color w:val="000000"/>
        </w:rPr>
      </w:pPr>
      <w:r>
        <w:rPr>
          <w:rFonts w:ascii="宋体" w:hAnsi="宋体" w:eastAsia="仿宋_GB2312" w:cs="黑体"/>
          <w:color w:val="000000"/>
          <w:kern w:val="2"/>
          <w:sz w:val="32"/>
          <w:szCs w:val="22"/>
          <w:lang w:val="en-US" w:eastAsia="zh-CN" w:bidi="ar-SA"/>
        </w:rPr>
        <w:pict>
          <v:shape id="图片 3" o:spid="_x0000_s1037" type="#_x0000_t75" style="position:absolute;left:0;margin-left:-1.1pt;margin-top:-1.15pt;height:250.95pt;width:417.95pt;mso-position-horizontal-relative:margin;rotation:0f;z-index:251658240;" o:ole="f" fillcolor="#FFFFFF" filled="f" o:preferrelative="t" stroked="f" coordorigin="0,0" coordsize="21600,21600">
            <v:fill on="f" color2="#FFFFFF" focus="0%"/>
            <v:imagedata cropleft="898f" croptop="6776f" cropright="586f" cropbottom="4336f" gain="65536f" blacklevel="0f" gamma="0" o:title="" r:id="rId26"/>
            <o:lock v:ext="edit" position="f" selection="f" grouping="f" rotation="f" cropping="f" text="f" aspectratio="t"/>
          </v:shape>
        </w:pict>
      </w:r>
    </w:p>
    <w:p>
      <w:pPr>
        <w:adjustRightInd w:val="0"/>
        <w:snapToGrid w:val="0"/>
        <w:ind w:firstLine="560"/>
        <w:rPr>
          <w:rFonts w:ascii="宋体" w:hAnsi="宋体"/>
          <w:color w:val="000000"/>
        </w:rPr>
      </w:pPr>
    </w:p>
    <w:p>
      <w:pPr>
        <w:adjustRightInd w:val="0"/>
        <w:snapToGrid w:val="0"/>
        <w:ind w:firstLine="560"/>
        <w:rPr>
          <w:rFonts w:ascii="宋体" w:hAnsi="宋体"/>
          <w:color w:val="000000"/>
        </w:rPr>
      </w:pPr>
    </w:p>
    <w:p>
      <w:pPr>
        <w:adjustRightInd w:val="0"/>
        <w:snapToGrid w:val="0"/>
        <w:ind w:firstLine="560"/>
        <w:rPr>
          <w:rFonts w:ascii="宋体" w:hAnsi="宋体"/>
          <w:color w:val="000000"/>
        </w:rPr>
      </w:pPr>
    </w:p>
    <w:p>
      <w:pPr>
        <w:pStyle w:val="2"/>
      </w:pPr>
    </w:p>
    <w:p>
      <w:pPr>
        <w:pStyle w:val="3"/>
        <w:rPr>
          <w:rFonts w:hint="eastAsia"/>
        </w:rPr>
      </w:pPr>
    </w:p>
    <w:p>
      <w:pPr>
        <w:pStyle w:val="2"/>
      </w:pPr>
    </w:p>
    <w:p>
      <w:pPr>
        <w:pStyle w:val="3"/>
        <w:rPr>
          <w:rFonts w:hint="eastAsia"/>
        </w:rPr>
      </w:pPr>
    </w:p>
    <w:p>
      <w:pPr>
        <w:adjustRightInd w:val="0"/>
        <w:snapToGrid w:val="0"/>
        <w:ind w:firstLine="0" w:firstLineChars="0"/>
        <w:rPr>
          <w:rFonts w:ascii="宋体" w:hAnsi="宋体"/>
          <w:color w:val="000000"/>
        </w:rPr>
      </w:pPr>
    </w:p>
    <w:p>
      <w:pPr>
        <w:pStyle w:val="2"/>
      </w:pPr>
    </w:p>
    <w:p>
      <w:pPr>
        <w:pStyle w:val="3"/>
        <w:rPr>
          <w:rFonts w:hint="eastAsia"/>
        </w:rPr>
      </w:pPr>
    </w:p>
    <w:p>
      <w:pPr>
        <w:adjustRightInd w:val="0"/>
        <w:snapToGrid w:val="0"/>
        <w:ind w:firstLine="480"/>
        <w:jc w:val="center"/>
        <w:rPr>
          <w:rFonts w:ascii="宋体" w:hAnsi="宋体"/>
          <w:color w:val="000000"/>
        </w:rPr>
      </w:pPr>
      <w:r>
        <w:rPr>
          <w:rFonts w:hint="eastAsia" w:ascii="宋体" w:hAnsi="宋体"/>
          <w:color w:val="000000"/>
          <w:sz w:val="24"/>
          <w:szCs w:val="24"/>
        </w:rPr>
        <w:t>历史文化遗产保护规划图</w:t>
      </w:r>
    </w:p>
    <w:tbl>
      <w:tblPr>
        <w:tblStyle w:val="18"/>
        <w:tblW w:w="9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vAlign w:val="top"/>
          </w:tcPr>
          <w:p>
            <w:pPr>
              <w:adjustRightInd w:val="0"/>
              <w:snapToGrid w:val="0"/>
              <w:ind w:firstLine="0" w:firstLineChars="0"/>
              <w:jc w:val="center"/>
              <w:rPr>
                <w:rFonts w:ascii="宋体" w:hAnsi="宋体"/>
                <w:b/>
                <w:color w:val="000000"/>
                <w:sz w:val="24"/>
              </w:rPr>
            </w:pPr>
            <w:r>
              <w:rPr>
                <w:rFonts w:hint="eastAsia" w:ascii="宋体" w:hAnsi="宋体"/>
                <w:b/>
                <w:color w:val="000000"/>
                <w:sz w:val="24"/>
              </w:rPr>
              <w:t>专栏</w:t>
            </w:r>
            <w:r>
              <w:rPr>
                <w:rFonts w:ascii="宋体" w:hAnsi="宋体"/>
                <w:b/>
                <w:color w:val="000000"/>
                <w:sz w:val="24"/>
              </w:rPr>
              <w:t>7-1</w:t>
            </w:r>
            <w:r>
              <w:rPr>
                <w:rFonts w:hint="eastAsia" w:ascii="宋体" w:hAnsi="宋体"/>
                <w:b/>
                <w:color w:val="000000"/>
                <w:sz w:val="24"/>
              </w:rPr>
              <w:t xml:space="preserve"> 历史文化保护专项行动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vAlign w:val="top"/>
          </w:tcPr>
          <w:p>
            <w:pPr>
              <w:pStyle w:val="21"/>
              <w:adjustRightInd w:val="0"/>
              <w:snapToGrid w:val="0"/>
              <w:ind w:firstLine="0" w:firstLineChars="0"/>
              <w:jc w:val="left"/>
              <w:rPr>
                <w:rFonts w:ascii="宋体" w:hAnsi="宋体"/>
                <w:b/>
                <w:color w:val="000000"/>
                <w:sz w:val="22"/>
              </w:rPr>
            </w:pPr>
            <w:r>
              <w:rPr>
                <w:rFonts w:hint="eastAsia" w:ascii="宋体" w:hAnsi="宋体"/>
                <w:b/>
                <w:color w:val="000000"/>
                <w:sz w:val="22"/>
              </w:rPr>
              <w:t>1</w:t>
            </w:r>
            <w:r>
              <w:rPr>
                <w:rFonts w:ascii="宋体" w:hAnsi="宋体"/>
                <w:b/>
                <w:color w:val="000000"/>
                <w:sz w:val="22"/>
              </w:rPr>
              <w:t>.</w:t>
            </w:r>
            <w:r>
              <w:rPr>
                <w:rFonts w:hint="eastAsia" w:ascii="宋体" w:hAnsi="宋体"/>
                <w:b/>
                <w:color w:val="000000"/>
                <w:sz w:val="22"/>
              </w:rPr>
              <w:t>加强历史文化名城保护</w:t>
            </w:r>
            <w:r>
              <w:rPr>
                <w:rFonts w:ascii="宋体" w:hAnsi="宋体"/>
                <w:b/>
                <w:color w:val="000000"/>
                <w:sz w:val="22"/>
              </w:rPr>
              <w:t>。</w:t>
            </w:r>
            <w:r>
              <w:rPr>
                <w:rFonts w:hint="eastAsia" w:ascii="宋体" w:hAnsi="宋体"/>
                <w:color w:val="000000"/>
                <w:sz w:val="22"/>
              </w:rPr>
              <w:t>结合已批复的《历史文化名城保护规划》等相关规划，加强对区域性历史文化资源的系统性保护</w:t>
            </w:r>
            <w:r>
              <w:rPr>
                <w:rFonts w:ascii="宋体" w:hAnsi="宋体"/>
                <w:color w:val="000000"/>
                <w:sz w:val="22"/>
              </w:rPr>
              <w:t>。</w:t>
            </w:r>
          </w:p>
          <w:p>
            <w:pPr>
              <w:adjustRightInd w:val="0"/>
              <w:snapToGrid w:val="0"/>
              <w:ind w:firstLine="0" w:firstLineChars="0"/>
              <w:jc w:val="left"/>
              <w:rPr>
                <w:rFonts w:ascii="宋体" w:hAnsi="宋体"/>
                <w:color w:val="000000"/>
                <w:sz w:val="22"/>
              </w:rPr>
            </w:pPr>
            <w:r>
              <w:rPr>
                <w:rFonts w:hint="eastAsia" w:ascii="宋体" w:hAnsi="宋体"/>
                <w:b/>
                <w:color w:val="000000"/>
                <w:sz w:val="22"/>
              </w:rPr>
              <w:t>2.推进历史文化名镇、名村、传统村落保护。</w:t>
            </w:r>
            <w:r>
              <w:rPr>
                <w:rFonts w:hint="eastAsia" w:ascii="宋体" w:hAnsi="宋体"/>
                <w:color w:val="000000"/>
                <w:sz w:val="22"/>
              </w:rPr>
              <w:t>利用传统工艺，结合新技术，组织修缮历史文化名镇、名村、传统村落内的传统民居，保护传统生产生活方式和农耕景观环境。</w:t>
            </w:r>
          </w:p>
          <w:p>
            <w:pPr>
              <w:adjustRightInd w:val="0"/>
              <w:snapToGrid w:val="0"/>
              <w:ind w:firstLine="0" w:firstLineChars="0"/>
              <w:jc w:val="left"/>
              <w:rPr>
                <w:rFonts w:ascii="宋体" w:hAnsi="宋体"/>
                <w:b/>
                <w:color w:val="000000"/>
                <w:sz w:val="22"/>
              </w:rPr>
            </w:pPr>
            <w:r>
              <w:rPr>
                <w:rFonts w:ascii="宋体" w:hAnsi="宋体"/>
                <w:b/>
                <w:color w:val="000000"/>
                <w:sz w:val="22"/>
              </w:rPr>
              <w:t>3</w:t>
            </w:r>
            <w:r>
              <w:rPr>
                <w:rFonts w:hint="eastAsia" w:ascii="宋体" w:hAnsi="宋体"/>
                <w:b/>
                <w:color w:val="000000"/>
                <w:sz w:val="22"/>
              </w:rPr>
              <w:t>.推进历史文化街区和历史地段、历史建筑保护</w:t>
            </w:r>
            <w:r>
              <w:rPr>
                <w:rFonts w:ascii="宋体" w:hAnsi="宋体"/>
                <w:b/>
                <w:color w:val="000000"/>
                <w:sz w:val="22"/>
              </w:rPr>
              <w:t>。</w:t>
            </w:r>
            <w:r>
              <w:rPr>
                <w:rFonts w:hint="eastAsia" w:ascii="宋体" w:hAnsi="宋体"/>
                <w:color w:val="000000"/>
                <w:sz w:val="22"/>
              </w:rPr>
              <w:t>有机更新历史文化街区，采用微改造的“绣花”“织补”方式，以小规模、渐进式节奏，持续提升历史文化街区活力。支持和鼓励在保持外观风貌、典型构件基础上，赋予历史文化街区和历史地段当代功能，与城市和城区生活有机融合</w:t>
            </w:r>
            <w:r>
              <w:rPr>
                <w:rFonts w:ascii="宋体" w:hAnsi="宋体"/>
                <w:color w:val="000000"/>
                <w:sz w:val="22"/>
              </w:rPr>
              <w:t>。</w:t>
            </w:r>
          </w:p>
          <w:p>
            <w:pPr>
              <w:adjustRightInd w:val="0"/>
              <w:snapToGrid w:val="0"/>
              <w:ind w:firstLine="0" w:firstLineChars="0"/>
              <w:jc w:val="left"/>
              <w:rPr>
                <w:rFonts w:ascii="宋体" w:hAnsi="宋体"/>
                <w:b/>
                <w:color w:val="000000"/>
                <w:sz w:val="22"/>
              </w:rPr>
            </w:pPr>
            <w:r>
              <w:rPr>
                <w:rFonts w:ascii="宋体" w:hAnsi="宋体"/>
                <w:b/>
                <w:color w:val="000000"/>
                <w:sz w:val="22"/>
              </w:rPr>
              <w:t>4</w:t>
            </w:r>
            <w:r>
              <w:rPr>
                <w:rFonts w:hint="eastAsia" w:ascii="宋体" w:hAnsi="宋体"/>
                <w:b/>
                <w:color w:val="000000"/>
                <w:sz w:val="22"/>
              </w:rPr>
              <w:t>.</w:t>
            </w:r>
            <w:r>
              <w:rPr>
                <w:rFonts w:ascii="宋体" w:hAnsi="宋体"/>
                <w:b/>
                <w:color w:val="000000"/>
                <w:sz w:val="22"/>
              </w:rPr>
              <w:t>开展历史建筑修缮行动。</w:t>
            </w:r>
            <w:r>
              <w:rPr>
                <w:rFonts w:ascii="宋体" w:hAnsi="宋体"/>
                <w:color w:val="000000"/>
                <w:sz w:val="22"/>
              </w:rPr>
              <w:t>按照《历史文化名城名镇名村保护条例》关于历史建筑的保护要求，在不影响建筑历史风貌的前提下，对</w:t>
            </w:r>
            <w:r>
              <w:rPr>
                <w:rFonts w:hint="eastAsia" w:ascii="宋体" w:hAnsi="宋体"/>
                <w:color w:val="000000"/>
                <w:sz w:val="22"/>
              </w:rPr>
              <w:t>全市</w:t>
            </w:r>
            <w:r>
              <w:rPr>
                <w:rFonts w:ascii="宋体" w:hAnsi="宋体"/>
                <w:color w:val="000000"/>
                <w:sz w:val="22"/>
              </w:rPr>
              <w:t>亟需维护的历史建筑开展修缮行动。</w:t>
            </w:r>
          </w:p>
        </w:tc>
      </w:tr>
    </w:tbl>
    <w:p>
      <w:pPr>
        <w:ind w:firstLine="560"/>
        <w:rPr>
          <w:color w:val="000000"/>
        </w:rPr>
      </w:pPr>
    </w:p>
    <w:p>
      <w:pPr>
        <w:pStyle w:val="4"/>
        <w:ind w:firstLine="883"/>
        <w:rPr>
          <w:rFonts w:ascii="宋体" w:hAnsi="宋体"/>
          <w:color w:val="000000"/>
        </w:rPr>
      </w:pPr>
      <w:bookmarkStart w:id="547" w:name="_Toc119916765"/>
      <w:bookmarkStart w:id="548" w:name="_Toc118566769"/>
      <w:bookmarkStart w:id="549" w:name="_Toc118566502"/>
      <w:bookmarkStart w:id="550" w:name="_Toc118566635"/>
      <w:bookmarkStart w:id="551" w:name="_Toc118566369"/>
      <w:r>
        <w:rPr>
          <w:rFonts w:hint="eastAsia" w:ascii="宋体" w:hAnsi="宋体"/>
          <w:color w:val="000000"/>
        </w:rPr>
        <w:t>第八章 推进城乡人居环境治理现代化</w:t>
      </w:r>
      <w:bookmarkEnd w:id="547"/>
      <w:bookmarkEnd w:id="548"/>
      <w:bookmarkEnd w:id="549"/>
      <w:bookmarkEnd w:id="550"/>
      <w:bookmarkEnd w:id="551"/>
    </w:p>
    <w:p>
      <w:pPr>
        <w:pStyle w:val="5"/>
        <w:numPr>
          <w:numId w:val="0"/>
        </w:numPr>
        <w:spacing w:before="190"/>
        <w:rPr>
          <w:rFonts w:ascii="宋体" w:hAnsi="宋体"/>
          <w:color w:val="000000"/>
        </w:rPr>
      </w:pPr>
      <w:bookmarkStart w:id="552" w:name="_Toc118566770"/>
      <w:bookmarkStart w:id="553" w:name="_Toc119916766"/>
      <w:bookmarkStart w:id="554" w:name="_Toc118566503"/>
      <w:bookmarkStart w:id="555" w:name="_Toc118566370"/>
      <w:bookmarkStart w:id="556" w:name="_Toc118566636"/>
      <w:r>
        <w:rPr>
          <w:rFonts w:ascii="宋体" w:hAnsi="宋体"/>
          <w:color w:val="000000"/>
        </w:rPr>
        <w:t>一、构建共建共治共享治理格局</w:t>
      </w:r>
      <w:bookmarkEnd w:id="552"/>
      <w:bookmarkEnd w:id="553"/>
      <w:bookmarkEnd w:id="554"/>
      <w:bookmarkEnd w:id="555"/>
      <w:bookmarkEnd w:id="556"/>
      <w:r>
        <w:rPr>
          <w:rFonts w:ascii="宋体" w:hAnsi="宋体"/>
          <w:color w:val="000000"/>
        </w:rPr>
        <w:t xml:space="preserve"> </w:t>
      </w:r>
    </w:p>
    <w:p>
      <w:pPr>
        <w:pStyle w:val="6"/>
        <w:ind w:firstLine="141"/>
        <w:rPr>
          <w:rFonts w:ascii="宋体" w:hAnsi="宋体"/>
          <w:color w:val="000000"/>
        </w:rPr>
      </w:pPr>
      <w:bookmarkStart w:id="557" w:name="_Toc118566371"/>
      <w:bookmarkStart w:id="558" w:name="_Toc118566771"/>
      <w:bookmarkStart w:id="559" w:name="_Toc118566504"/>
      <w:bookmarkStart w:id="560" w:name="_Toc118566637"/>
      <w:r>
        <w:rPr>
          <w:rFonts w:hint="eastAsia" w:ascii="宋体" w:hAnsi="宋体"/>
          <w:color w:val="000000"/>
        </w:rPr>
        <w:t>（一）</w:t>
      </w:r>
      <w:r>
        <w:rPr>
          <w:rFonts w:ascii="宋体" w:hAnsi="宋体"/>
          <w:color w:val="000000"/>
        </w:rPr>
        <w:t>建立城乡基层社会治理新格局</w:t>
      </w:r>
      <w:bookmarkEnd w:id="557"/>
      <w:bookmarkEnd w:id="558"/>
      <w:bookmarkEnd w:id="559"/>
      <w:bookmarkEnd w:id="560"/>
    </w:p>
    <w:p>
      <w:pPr>
        <w:adjustRightInd w:val="0"/>
        <w:snapToGrid w:val="0"/>
        <w:ind w:left="-15" w:firstLine="560"/>
        <w:rPr>
          <w:color w:val="000000"/>
        </w:rPr>
      </w:pPr>
      <w:r>
        <w:rPr>
          <w:color w:val="000000"/>
        </w:rPr>
        <w:t>把城乡人居环境治理的重心落到城乡社区，推动社区服务转型升级，健全基层党组织领导下的居民自治、民主协商、群团带动、社会参与机制，下沉公共服务和资源，构建纵向到底、横向到边、共建共治共享的基础社会治理体系。支持物业服务企业承担社区公共服务职能，结合物业管理服务平台，大力推进线上线下社会生活服务，精准化满足居民多样化多层次社区服务需求，全面提升居住社区服务管理能力。</w:t>
      </w:r>
    </w:p>
    <w:p>
      <w:pPr>
        <w:pStyle w:val="6"/>
        <w:ind w:firstLine="141"/>
        <w:rPr>
          <w:rFonts w:ascii="宋体" w:hAnsi="宋体"/>
          <w:color w:val="000000"/>
        </w:rPr>
      </w:pPr>
      <w:bookmarkStart w:id="561" w:name="_Toc118566372"/>
      <w:bookmarkStart w:id="562" w:name="_Toc118566505"/>
      <w:bookmarkStart w:id="563" w:name="_Toc118566772"/>
      <w:bookmarkStart w:id="564" w:name="_Toc118566638"/>
      <w:r>
        <w:rPr>
          <w:rFonts w:hint="eastAsia" w:ascii="宋体" w:hAnsi="宋体"/>
          <w:color w:val="000000"/>
        </w:rPr>
        <w:t>（二）</w:t>
      </w:r>
      <w:r>
        <w:rPr>
          <w:rFonts w:ascii="宋体" w:hAnsi="宋体"/>
          <w:color w:val="000000"/>
        </w:rPr>
        <w:t>深入开展美好环境与幸福生活共同缔造活动</w:t>
      </w:r>
      <w:bookmarkEnd w:id="561"/>
      <w:bookmarkEnd w:id="562"/>
      <w:bookmarkEnd w:id="563"/>
      <w:bookmarkEnd w:id="564"/>
    </w:p>
    <w:p>
      <w:pPr>
        <w:adjustRightInd w:val="0"/>
        <w:snapToGrid w:val="0"/>
        <w:ind w:left="-15" w:firstLine="560"/>
        <w:rPr>
          <w:color w:val="000000"/>
        </w:rPr>
      </w:pPr>
      <w:r>
        <w:rPr>
          <w:color w:val="000000"/>
        </w:rPr>
        <w:t>以满足居民的需求和愿望为出发点和落脚点，尊重居民对城乡发展决策的知情权、参与权、监督权，按照有关规定探索适宜城乡社区治理的项目招投标、奖励等机制，搭建社区居民、基层政府、相关部门以及第三方社会组织之间沟通议事平台，鼓励企业和居民通过各种方式参与城乡人居环境建设和治理。加大社区文化建设力度，加强社区关怀和包容性，提高城乡人居环境认同感和归属感。</w:t>
      </w:r>
    </w:p>
    <w:p>
      <w:pPr>
        <w:pStyle w:val="5"/>
        <w:numPr>
          <w:numId w:val="0"/>
        </w:numPr>
        <w:spacing w:before="190"/>
        <w:rPr>
          <w:rFonts w:ascii="宋体" w:hAnsi="宋体"/>
          <w:color w:val="000000"/>
        </w:rPr>
      </w:pPr>
      <w:bookmarkStart w:id="565" w:name="_Toc119916767"/>
      <w:bookmarkStart w:id="566" w:name="_Toc118566506"/>
      <w:bookmarkStart w:id="567" w:name="_Toc118566773"/>
      <w:bookmarkStart w:id="568" w:name="_Toc118566639"/>
      <w:bookmarkStart w:id="569" w:name="_Toc118566373"/>
      <w:r>
        <w:rPr>
          <w:rFonts w:ascii="宋体" w:hAnsi="宋体"/>
          <w:color w:val="000000"/>
        </w:rPr>
        <w:t>二、提升城市治理水平</w:t>
      </w:r>
      <w:bookmarkEnd w:id="565"/>
      <w:bookmarkEnd w:id="566"/>
      <w:bookmarkEnd w:id="567"/>
      <w:bookmarkEnd w:id="568"/>
      <w:bookmarkEnd w:id="569"/>
    </w:p>
    <w:p>
      <w:pPr>
        <w:pStyle w:val="6"/>
        <w:ind w:firstLine="141"/>
        <w:rPr>
          <w:rFonts w:ascii="宋体" w:hAnsi="宋体"/>
          <w:color w:val="000000"/>
        </w:rPr>
      </w:pPr>
      <w:bookmarkStart w:id="570" w:name="_Toc118566507"/>
      <w:bookmarkStart w:id="571" w:name="_Toc118566640"/>
      <w:bookmarkStart w:id="572" w:name="_Toc118566774"/>
      <w:bookmarkStart w:id="573" w:name="_Toc118566374"/>
      <w:r>
        <w:rPr>
          <w:rFonts w:hint="eastAsia" w:ascii="宋体" w:hAnsi="宋体"/>
          <w:color w:val="000000"/>
        </w:rPr>
        <w:t>（一）</w:t>
      </w:r>
      <w:r>
        <w:rPr>
          <w:rFonts w:ascii="宋体" w:hAnsi="宋体"/>
          <w:color w:val="000000"/>
        </w:rPr>
        <w:t>完善城市综合管理服务体系</w:t>
      </w:r>
      <w:bookmarkEnd w:id="570"/>
      <w:bookmarkEnd w:id="571"/>
      <w:bookmarkEnd w:id="572"/>
      <w:bookmarkEnd w:id="573"/>
    </w:p>
    <w:p>
      <w:pPr>
        <w:adjustRightInd w:val="0"/>
        <w:snapToGrid w:val="0"/>
        <w:ind w:left="-17" w:firstLine="560"/>
        <w:rPr>
          <w:color w:val="000000"/>
        </w:rPr>
      </w:pPr>
      <w:r>
        <w:rPr>
          <w:color w:val="000000"/>
        </w:rPr>
        <w:t>建立城市综合管理服务评价体系，持续提高城市综合管理服务水平。下足“绣花”功夫实现城市共建共治共享，从“城市管理”向“城市服务”转变。形成网格化全周期管理模式，构建城市综合管理服务体系，形成“城市-街区-网格”的联动管理系统。构建街区“一个平台、一支队伍、N个行政管理部门”的“1+1+N”城市综合管理服务体系，把精细化管理标准和责任落实到“最后一米”</w:t>
      </w:r>
      <w:r>
        <w:rPr>
          <w:rFonts w:hint="eastAsia"/>
          <w:color w:val="000000"/>
        </w:rPr>
        <w:t>、</w:t>
      </w:r>
      <w:r>
        <w:rPr>
          <w:color w:val="000000"/>
        </w:rPr>
        <w:t>“最后一人”。</w:t>
      </w:r>
    </w:p>
    <w:p>
      <w:pPr>
        <w:pStyle w:val="6"/>
        <w:ind w:firstLine="141"/>
        <w:rPr>
          <w:rFonts w:ascii="宋体" w:hAnsi="宋体"/>
          <w:color w:val="000000"/>
        </w:rPr>
      </w:pPr>
      <w:bookmarkStart w:id="574" w:name="_Toc118566508"/>
      <w:bookmarkStart w:id="575" w:name="_Toc118566775"/>
      <w:bookmarkStart w:id="576" w:name="_Toc118566375"/>
      <w:bookmarkStart w:id="577" w:name="_Toc118566641"/>
      <w:r>
        <w:rPr>
          <w:rFonts w:hint="eastAsia" w:ascii="宋体" w:hAnsi="宋体"/>
          <w:color w:val="000000"/>
        </w:rPr>
        <w:t>（二）</w:t>
      </w:r>
      <w:r>
        <w:rPr>
          <w:rFonts w:ascii="宋体" w:hAnsi="宋体"/>
          <w:color w:val="000000"/>
        </w:rPr>
        <w:t>健全城市精细化建设管理体系</w:t>
      </w:r>
      <w:bookmarkEnd w:id="574"/>
      <w:bookmarkEnd w:id="575"/>
      <w:bookmarkEnd w:id="576"/>
      <w:bookmarkEnd w:id="577"/>
    </w:p>
    <w:p>
      <w:pPr>
        <w:adjustRightInd w:val="0"/>
        <w:snapToGrid w:val="0"/>
        <w:ind w:left="-15" w:firstLine="560"/>
        <w:rPr>
          <w:color w:val="000000"/>
        </w:rPr>
      </w:pPr>
      <w:r>
        <w:rPr>
          <w:color w:val="000000"/>
        </w:rPr>
        <w:t>坚持全市</w:t>
      </w:r>
      <w:r>
        <w:rPr>
          <w:rFonts w:ascii="仿宋" w:hAnsi="仿宋" w:eastAsia="仿宋" w:cs="仿宋"/>
          <w:color w:val="000000"/>
        </w:rPr>
        <w:t>“</w:t>
      </w:r>
      <w:r>
        <w:rPr>
          <w:color w:val="000000"/>
        </w:rPr>
        <w:t>一盘棋、一体化</w:t>
      </w:r>
      <w:r>
        <w:rPr>
          <w:rFonts w:ascii="仿宋" w:hAnsi="仿宋" w:eastAsia="仿宋" w:cs="仿宋"/>
          <w:color w:val="000000"/>
        </w:rPr>
        <w:t>”</w:t>
      </w:r>
      <w:r>
        <w:rPr>
          <w:color w:val="000000"/>
        </w:rPr>
        <w:t>建设，更多运用互联网、大数据、人工智能等信息技术手段，全面制定和完善市政道路、园林绿化、市容环卫、城管执法、数字城管等领域的标准规范，推进城市治理制度创新、模式创新、手段创新，提高城市科学化、精细化、智能化管理水平。科学集约的</w:t>
      </w:r>
      <w:r>
        <w:rPr>
          <w:rFonts w:ascii="仿宋" w:hAnsi="仿宋" w:eastAsia="仿宋" w:cs="仿宋"/>
          <w:color w:val="000000"/>
        </w:rPr>
        <w:t>“</w:t>
      </w:r>
      <w:r>
        <w:rPr>
          <w:color w:val="000000"/>
        </w:rPr>
        <w:t>城市大脑</w:t>
      </w:r>
      <w:r>
        <w:rPr>
          <w:rFonts w:ascii="仿宋" w:hAnsi="仿宋" w:eastAsia="仿宋" w:cs="仿宋"/>
          <w:color w:val="000000"/>
        </w:rPr>
        <w:t>”</w:t>
      </w:r>
      <w:r>
        <w:rPr>
          <w:color w:val="000000"/>
        </w:rPr>
        <w:t>基本建成，全量汇聚的数据中枢运行高效；政务服务</w:t>
      </w:r>
      <w:r>
        <w:rPr>
          <w:rFonts w:ascii="仿宋" w:hAnsi="仿宋" w:eastAsia="仿宋" w:cs="仿宋"/>
          <w:color w:val="000000"/>
        </w:rPr>
        <w:t>“</w:t>
      </w:r>
      <w:r>
        <w:rPr>
          <w:color w:val="000000"/>
        </w:rPr>
        <w:t>一网通办</w:t>
      </w:r>
      <w:r>
        <w:rPr>
          <w:rFonts w:ascii="仿宋" w:hAnsi="仿宋" w:eastAsia="仿宋" w:cs="仿宋"/>
          <w:color w:val="000000"/>
        </w:rPr>
        <w:t>”</w:t>
      </w:r>
      <w:r>
        <w:rPr>
          <w:color w:val="000000"/>
        </w:rPr>
        <w:t>持续深化，群众办事更加方便，营商环境进一步优化；城市运行</w:t>
      </w:r>
      <w:r>
        <w:rPr>
          <w:rFonts w:ascii="仿宋" w:hAnsi="仿宋" w:eastAsia="仿宋" w:cs="仿宋"/>
          <w:color w:val="000000"/>
        </w:rPr>
        <w:t>“</w:t>
      </w:r>
      <w:r>
        <w:rPr>
          <w:color w:val="000000"/>
        </w:rPr>
        <w:t>一网统管</w:t>
      </w:r>
      <w:r>
        <w:rPr>
          <w:rFonts w:ascii="仿宋" w:hAnsi="仿宋" w:eastAsia="仿宋" w:cs="仿宋"/>
          <w:color w:val="000000"/>
        </w:rPr>
        <w:t>”</w:t>
      </w:r>
      <w:r>
        <w:rPr>
          <w:color w:val="000000"/>
        </w:rPr>
        <w:t>加快推进，城市治理能力和治理水平不断提高。认真贯彻实施《城市市容市貌干净整洁有序安全标准（试行）》，进一步提高市容市貌管理水平。</w:t>
      </w:r>
    </w:p>
    <w:p>
      <w:pPr>
        <w:pStyle w:val="6"/>
        <w:ind w:firstLine="141"/>
        <w:rPr>
          <w:rFonts w:ascii="宋体" w:hAnsi="宋体"/>
          <w:color w:val="000000"/>
        </w:rPr>
      </w:pPr>
      <w:bookmarkStart w:id="578" w:name="_Toc118566376"/>
      <w:bookmarkStart w:id="579" w:name="_Toc118566509"/>
      <w:bookmarkStart w:id="580" w:name="_Toc118566642"/>
      <w:bookmarkStart w:id="581" w:name="_Toc118566776"/>
      <w:r>
        <w:rPr>
          <w:rFonts w:hint="eastAsia" w:ascii="宋体" w:hAnsi="宋体"/>
          <w:color w:val="000000"/>
        </w:rPr>
        <w:t>（三）</w:t>
      </w:r>
      <w:r>
        <w:rPr>
          <w:rFonts w:ascii="宋体" w:hAnsi="宋体"/>
          <w:color w:val="000000"/>
        </w:rPr>
        <w:t>加快智慧化城市建设</w:t>
      </w:r>
      <w:bookmarkEnd w:id="578"/>
      <w:bookmarkEnd w:id="579"/>
      <w:bookmarkEnd w:id="580"/>
      <w:bookmarkEnd w:id="581"/>
    </w:p>
    <w:p>
      <w:pPr>
        <w:adjustRightInd w:val="0"/>
        <w:snapToGrid w:val="0"/>
        <w:ind w:left="-17" w:firstLine="560"/>
        <w:rPr>
          <w:color w:val="000000"/>
        </w:rPr>
      </w:pPr>
      <w:r>
        <w:rPr>
          <w:color w:val="000000"/>
        </w:rPr>
        <w:t>以“数创‘新</w:t>
      </w:r>
      <w:r>
        <w:rPr>
          <w:rFonts w:hint="eastAsia"/>
          <w:color w:val="000000"/>
        </w:rPr>
        <w:t>广元</w:t>
      </w:r>
      <w:r>
        <w:rPr>
          <w:color w:val="000000"/>
        </w:rPr>
        <w:t>’、智享‘新生态’”理念为引领，围绕构建“生态型智慧城市”发展目标，加快建设CIM平台，规划建设基于数字孪生技术的“镜像城市”，系统谋划智慧城市和数字经济顶层架构。基于大数据技术，充分利用城市管理相关数据，构建城市管理“城市大脑”，全面提升城市空间治理智慧化水平，十四五期末城市信息模型（CIM）平台覆盖率到达70%。加快推在智慧政务、智慧社区、智慧医疗、智慧医保、智慧教育、智慧农业、智慧城市治理、智慧商业服务、智慧产业、智慧监管等主要方向的智慧城市创新应用，进一步完善政务云管理，提高政务云资源利用率，加强对政务云服务商服务质量、服务能力、运维服务水平等方面的规范管理，完善市公共信用信息服务平台信息资源整合共享机制。实现城市管理由“粗放管理”变为“绣花管理”、由“单一监管”变为“多项监管”、由“人工管理”变为“智能管理”的三大变化。</w:t>
      </w:r>
    </w:p>
    <w:p>
      <w:pPr>
        <w:pStyle w:val="6"/>
        <w:ind w:firstLine="141"/>
        <w:rPr>
          <w:rFonts w:ascii="宋体" w:hAnsi="宋体"/>
          <w:color w:val="000000"/>
        </w:rPr>
      </w:pPr>
      <w:bookmarkStart w:id="582" w:name="_Toc118566510"/>
      <w:bookmarkStart w:id="583" w:name="_Toc118566377"/>
      <w:bookmarkStart w:id="584" w:name="_Toc118566643"/>
      <w:bookmarkStart w:id="585" w:name="_Toc118566777"/>
      <w:r>
        <w:rPr>
          <w:rFonts w:hint="eastAsia" w:ascii="宋体" w:hAnsi="宋体"/>
          <w:color w:val="000000"/>
        </w:rPr>
        <w:t>（四）</w:t>
      </w:r>
      <w:r>
        <w:rPr>
          <w:rFonts w:ascii="宋体" w:hAnsi="宋体"/>
          <w:color w:val="000000"/>
        </w:rPr>
        <w:t>深化城市管理体制改革</w:t>
      </w:r>
      <w:bookmarkEnd w:id="582"/>
      <w:bookmarkEnd w:id="583"/>
      <w:bookmarkEnd w:id="584"/>
      <w:bookmarkEnd w:id="585"/>
    </w:p>
    <w:p>
      <w:pPr>
        <w:adjustRightInd w:val="0"/>
        <w:snapToGrid w:val="0"/>
        <w:ind w:left="-15" w:firstLine="560"/>
        <w:rPr>
          <w:color w:val="000000"/>
        </w:rPr>
      </w:pPr>
      <w:r>
        <w:rPr>
          <w:color w:val="000000"/>
        </w:rPr>
        <w:t>提高城市管理法制化水平，坚持依法治理，加快推进城市管理法制化建设，注重运用法制思维和法制方式解决城市治理突出问题。加强城市管理执法队伍建设。组织开展执法能力提升行动，推进城市管理执法队伍正规化、专业化、职业化。加强执法人员教育培训，全面提升队伍政治素养、法制素养和执法能力。推进严格规范公正文明执法。</w:t>
      </w:r>
    </w:p>
    <w:p>
      <w:pPr>
        <w:pStyle w:val="5"/>
        <w:numPr>
          <w:numId w:val="0"/>
        </w:numPr>
        <w:spacing w:before="190"/>
        <w:rPr>
          <w:rFonts w:ascii="宋体" w:hAnsi="宋体"/>
          <w:color w:val="000000"/>
        </w:rPr>
      </w:pPr>
      <w:bookmarkStart w:id="586" w:name="_Toc118566378"/>
      <w:bookmarkStart w:id="587" w:name="_Toc119916768"/>
      <w:bookmarkStart w:id="588" w:name="_Toc118566778"/>
      <w:bookmarkStart w:id="589" w:name="_Toc118566644"/>
      <w:bookmarkStart w:id="590" w:name="_Toc118566511"/>
      <w:r>
        <w:rPr>
          <w:rFonts w:ascii="宋体" w:hAnsi="宋体"/>
          <w:color w:val="000000"/>
        </w:rPr>
        <w:t>三、加强乡村建设管理</w:t>
      </w:r>
      <w:bookmarkEnd w:id="586"/>
      <w:bookmarkEnd w:id="587"/>
      <w:bookmarkEnd w:id="588"/>
      <w:bookmarkEnd w:id="589"/>
      <w:bookmarkEnd w:id="590"/>
    </w:p>
    <w:p>
      <w:pPr>
        <w:pStyle w:val="6"/>
        <w:ind w:firstLine="141"/>
        <w:rPr>
          <w:rFonts w:ascii="宋体" w:hAnsi="宋体"/>
          <w:color w:val="000000"/>
        </w:rPr>
      </w:pPr>
      <w:bookmarkStart w:id="591" w:name="_Toc118566512"/>
      <w:bookmarkStart w:id="592" w:name="_Toc118566645"/>
      <w:bookmarkStart w:id="593" w:name="_Toc118566779"/>
      <w:bookmarkStart w:id="594" w:name="_Toc118566379"/>
      <w:r>
        <w:rPr>
          <w:rFonts w:hint="eastAsia" w:ascii="宋体" w:hAnsi="宋体"/>
          <w:color w:val="000000"/>
        </w:rPr>
        <w:t>（一）</w:t>
      </w:r>
      <w:r>
        <w:rPr>
          <w:rFonts w:ascii="宋体" w:hAnsi="宋体"/>
          <w:color w:val="000000"/>
        </w:rPr>
        <w:t>深化乡镇服务管理体制改革</w:t>
      </w:r>
      <w:bookmarkEnd w:id="591"/>
      <w:bookmarkEnd w:id="592"/>
      <w:bookmarkEnd w:id="593"/>
      <w:bookmarkEnd w:id="594"/>
    </w:p>
    <w:p>
      <w:pPr>
        <w:adjustRightInd w:val="0"/>
        <w:snapToGrid w:val="0"/>
        <w:ind w:left="-15" w:firstLine="560"/>
        <w:rPr>
          <w:color w:val="000000"/>
        </w:rPr>
      </w:pPr>
      <w:r>
        <w:rPr>
          <w:color w:val="000000"/>
        </w:rPr>
        <w:t>做好乡镇行政区划和村级建制调整改革“后半篇”文章，推动城市资源与服务重心向乡镇下沉，依法探索将部分县级行政部门执法权、行政许可审批权等适当下放乡镇。坚持党建引领，以村</w:t>
      </w:r>
      <w:r>
        <w:rPr>
          <w:rFonts w:ascii="仿宋_GB2312" w:hAnsi="仿宋_GB2312" w:eastAsia="仿宋_GB2312" w:cs="仿宋_GB2312"/>
          <w:color w:val="000000"/>
        </w:rPr>
        <w:t>(</w:t>
      </w:r>
      <w:r>
        <w:rPr>
          <w:color w:val="000000"/>
        </w:rPr>
        <w:t>社区</w:t>
      </w:r>
      <w:r>
        <w:rPr>
          <w:rFonts w:ascii="仿宋_GB2312" w:hAnsi="仿宋_GB2312" w:eastAsia="仿宋_GB2312" w:cs="仿宋_GB2312"/>
          <w:color w:val="000000"/>
        </w:rPr>
        <w:t>)</w:t>
      </w:r>
      <w:r>
        <w:rPr>
          <w:color w:val="000000"/>
        </w:rPr>
        <w:t>为基本单元，实施大联动、微治理，提升乡镇的网格化服务管理水平，着力增强乡镇城乡人居环境治理能力。积极推行乡镇政务服务“好差评”机制，实行“一站式”服务和“一窗式”办理，构建线上线下相结合的便民服务体系。</w:t>
      </w:r>
    </w:p>
    <w:p>
      <w:pPr>
        <w:pStyle w:val="6"/>
        <w:ind w:firstLine="141"/>
        <w:rPr>
          <w:rFonts w:ascii="宋体" w:hAnsi="宋体"/>
          <w:color w:val="000000"/>
        </w:rPr>
      </w:pPr>
      <w:bookmarkStart w:id="595" w:name="_Toc118566513"/>
      <w:bookmarkStart w:id="596" w:name="_Toc118566646"/>
      <w:bookmarkStart w:id="597" w:name="_Toc118566380"/>
      <w:bookmarkStart w:id="598" w:name="_Toc118566780"/>
      <w:r>
        <w:rPr>
          <w:rFonts w:hint="eastAsia" w:ascii="宋体" w:hAnsi="宋体"/>
          <w:color w:val="000000"/>
        </w:rPr>
        <w:t>（二）</w:t>
      </w:r>
      <w:r>
        <w:rPr>
          <w:rFonts w:ascii="宋体" w:hAnsi="宋体"/>
          <w:color w:val="000000"/>
        </w:rPr>
        <w:t>健全“美丽</w:t>
      </w:r>
      <w:r>
        <w:rPr>
          <w:rFonts w:hint="eastAsia" w:ascii="宋体" w:hAnsi="宋体"/>
          <w:color w:val="000000"/>
        </w:rPr>
        <w:t>广元</w:t>
      </w:r>
      <w:r>
        <w:rPr>
          <w:rFonts w:ascii="宋体" w:hAnsi="宋体"/>
          <w:color w:val="000000"/>
        </w:rPr>
        <w:t>·宜居乡村”建设长效机制</w:t>
      </w:r>
      <w:bookmarkEnd w:id="595"/>
      <w:bookmarkEnd w:id="596"/>
      <w:bookmarkEnd w:id="597"/>
      <w:bookmarkEnd w:id="598"/>
    </w:p>
    <w:p>
      <w:pPr>
        <w:adjustRightInd w:val="0"/>
        <w:snapToGrid w:val="0"/>
        <w:ind w:left="-15" w:firstLine="560"/>
        <w:rPr>
          <w:color w:val="000000"/>
        </w:rPr>
      </w:pPr>
      <w:r>
        <w:rPr>
          <w:color w:val="000000"/>
        </w:rPr>
        <w:t>健全村民参与村规划建设机制，建立“厕污共治”长效利用和管护机制，完善村庄常态化保洁制度，逐步实现村民小组专职保洁员全覆盖，完善“四好农村路”建管养运协调发展机制，鼓励社会资本参与乡村污水处理设施项目建设和运营管护，建立政府公共财政主导、村民委员会和村民自筹、受益主体付费、社会资金支持的乡村清洁经费多元化投入保障机制。</w:t>
      </w:r>
    </w:p>
    <w:p>
      <w:pPr>
        <w:pStyle w:val="6"/>
        <w:ind w:firstLine="141"/>
        <w:rPr>
          <w:rFonts w:ascii="宋体" w:hAnsi="宋体"/>
          <w:color w:val="000000"/>
        </w:rPr>
      </w:pPr>
      <w:bookmarkStart w:id="599" w:name="_Toc118566647"/>
      <w:bookmarkStart w:id="600" w:name="_Toc118566514"/>
      <w:bookmarkStart w:id="601" w:name="_Toc118566781"/>
      <w:bookmarkStart w:id="602" w:name="_Toc118566381"/>
      <w:r>
        <w:rPr>
          <w:rFonts w:hint="eastAsia" w:ascii="宋体" w:hAnsi="宋体"/>
          <w:color w:val="000000"/>
        </w:rPr>
        <w:t>（三）</w:t>
      </w:r>
      <w:r>
        <w:rPr>
          <w:rFonts w:ascii="宋体" w:hAnsi="宋体"/>
          <w:color w:val="000000"/>
        </w:rPr>
        <w:t>推动农房管理数字赋能</w:t>
      </w:r>
      <w:bookmarkEnd w:id="599"/>
      <w:bookmarkEnd w:id="600"/>
      <w:bookmarkEnd w:id="601"/>
      <w:bookmarkEnd w:id="602"/>
    </w:p>
    <w:p>
      <w:pPr>
        <w:adjustRightInd w:val="0"/>
        <w:snapToGrid w:val="0"/>
        <w:ind w:left="-15" w:firstLine="560"/>
        <w:rPr>
          <w:color w:val="000000"/>
        </w:rPr>
      </w:pPr>
      <w:r>
        <w:rPr>
          <w:color w:val="000000"/>
        </w:rPr>
        <w:t>推行乡村建设规划许可管理制度，推广数字农房平台建设，加强部门资源整合，实现农房报建、实时监管、改造建设需求处置平台化运行，农房重要基本信息数据化管理，多部门资源整合、“后台”化处置，全面提高农房建设管理智慧化服务水平。</w:t>
      </w:r>
    </w:p>
    <w:p>
      <w:pPr>
        <w:pStyle w:val="4"/>
        <w:rPr>
          <w:rFonts w:ascii="宋体" w:hAnsi="宋体"/>
          <w:color w:val="000000"/>
        </w:rPr>
      </w:pPr>
      <w:bookmarkStart w:id="603" w:name="_Toc118566382"/>
      <w:bookmarkStart w:id="604" w:name="_Toc118566515"/>
      <w:bookmarkStart w:id="605" w:name="_Toc118566648"/>
      <w:bookmarkStart w:id="606" w:name="_Toc118566782"/>
      <w:bookmarkStart w:id="607" w:name="_Toc119916769"/>
      <w:r>
        <w:rPr>
          <w:rFonts w:hint="eastAsia" w:ascii="宋体" w:hAnsi="宋体"/>
          <w:color w:val="000000"/>
        </w:rPr>
        <w:t>第九章 保障措施</w:t>
      </w:r>
      <w:bookmarkEnd w:id="508"/>
      <w:bookmarkEnd w:id="603"/>
      <w:bookmarkEnd w:id="604"/>
      <w:bookmarkEnd w:id="605"/>
      <w:bookmarkEnd w:id="606"/>
      <w:bookmarkEnd w:id="607"/>
    </w:p>
    <w:p>
      <w:pPr>
        <w:pStyle w:val="5"/>
        <w:numPr>
          <w:numId w:val="0"/>
        </w:numPr>
        <w:spacing w:before="190"/>
        <w:rPr>
          <w:rFonts w:ascii="宋体" w:hAnsi="宋体"/>
          <w:color w:val="000000"/>
        </w:rPr>
      </w:pPr>
      <w:bookmarkStart w:id="608" w:name="_Toc97218875"/>
      <w:bookmarkStart w:id="609" w:name="_Toc118566783"/>
      <w:bookmarkStart w:id="610" w:name="_Toc118566649"/>
      <w:bookmarkStart w:id="611" w:name="_Toc118566516"/>
      <w:bookmarkStart w:id="612" w:name="_Toc118566383"/>
      <w:bookmarkStart w:id="613" w:name="_Toc119916770"/>
      <w:r>
        <w:rPr>
          <w:rFonts w:hint="eastAsia" w:ascii="宋体" w:hAnsi="宋体"/>
          <w:color w:val="000000"/>
        </w:rPr>
        <w:t>一、加强组织领导</w:t>
      </w:r>
      <w:bookmarkEnd w:id="608"/>
      <w:bookmarkEnd w:id="609"/>
      <w:bookmarkEnd w:id="610"/>
      <w:bookmarkEnd w:id="611"/>
      <w:bookmarkEnd w:id="612"/>
      <w:bookmarkEnd w:id="613"/>
    </w:p>
    <w:p>
      <w:pPr>
        <w:adjustRightInd w:val="0"/>
        <w:snapToGrid w:val="0"/>
        <w:ind w:firstLine="560"/>
        <w:rPr>
          <w:rFonts w:ascii="宋体" w:hAnsi="宋体"/>
          <w:color w:val="000000"/>
          <w:shd w:val="clear" w:color="auto" w:fill="FFFFFF"/>
        </w:rPr>
      </w:pPr>
      <w:r>
        <w:rPr>
          <w:rFonts w:ascii="宋体" w:hAnsi="宋体"/>
          <w:color w:val="000000"/>
          <w:shd w:val="clear" w:color="auto" w:fill="FFFFFF"/>
        </w:rPr>
        <w:t>强化党的核心引领作用。始终把党的全面领导贯穿于城乡人居环境建设的各阶段、各环节。把党的政治优势、组织优势、制度优势转化为推动城乡人居环境建设的强大动力和坚强保障，确保党中央、国务院关于城乡人居环境建设的各项决策部署落实到位。完善党委政府统筹各部门协同的工作机制，成立人居环境建设专项工作组，统筹协调推进城乡人居环境建设工作，细化完善工作措施，根据《规划》制定实施方案</w:t>
      </w:r>
      <w:r>
        <w:rPr>
          <w:rFonts w:hint="eastAsia" w:ascii="宋体" w:hAnsi="宋体"/>
          <w:color w:val="000000"/>
          <w:shd w:val="clear" w:color="auto" w:fill="FFFFFF"/>
        </w:rPr>
        <w:t>。</w:t>
      </w:r>
    </w:p>
    <w:p>
      <w:pPr>
        <w:pStyle w:val="5"/>
        <w:numPr>
          <w:numId w:val="0"/>
        </w:numPr>
        <w:spacing w:before="190"/>
        <w:rPr>
          <w:rFonts w:ascii="宋体" w:hAnsi="宋体"/>
          <w:color w:val="000000"/>
        </w:rPr>
      </w:pPr>
      <w:bookmarkStart w:id="614" w:name="_Toc118566784"/>
      <w:bookmarkStart w:id="615" w:name="_Toc118566650"/>
      <w:bookmarkStart w:id="616" w:name="_Toc118566384"/>
      <w:bookmarkStart w:id="617" w:name="_Toc119916771"/>
      <w:bookmarkStart w:id="618" w:name="_Toc118566517"/>
      <w:r>
        <w:rPr>
          <w:rFonts w:hint="eastAsia" w:ascii="宋体" w:hAnsi="宋体"/>
          <w:color w:val="000000"/>
        </w:rPr>
        <w:t>二、强化政策支撑</w:t>
      </w:r>
      <w:bookmarkEnd w:id="614"/>
      <w:bookmarkEnd w:id="615"/>
      <w:bookmarkEnd w:id="616"/>
      <w:bookmarkEnd w:id="617"/>
      <w:bookmarkEnd w:id="618"/>
    </w:p>
    <w:p>
      <w:pPr>
        <w:adjustRightInd w:val="0"/>
        <w:snapToGrid w:val="0"/>
        <w:ind w:firstLine="560"/>
        <w:rPr>
          <w:rFonts w:ascii="宋体" w:hAnsi="宋体"/>
          <w:color w:val="000000"/>
          <w:shd w:val="clear" w:color="auto" w:fill="FFFFFF"/>
        </w:rPr>
      </w:pPr>
      <w:r>
        <w:rPr>
          <w:rFonts w:hint="eastAsia" w:ascii="宋体" w:hAnsi="宋体"/>
          <w:color w:val="000000"/>
          <w:shd w:val="clear" w:color="auto" w:fill="FFFFFF"/>
        </w:rPr>
        <w:t>建立健全法律法规体系，研究制定广元市城市设计条例、城市风貌保护管理办法等，出台指导意见、实施意见和工作推进方案，完善城乡人居环境建设的顶层设计。加强政策支持力度，鼓励社会资本参与，确保多种来源筹集的资金专款专用，支持各地整合政策、资金，加快推动城乡人居环境建设规划和项目的实施落地。</w:t>
      </w:r>
    </w:p>
    <w:p>
      <w:pPr>
        <w:pStyle w:val="5"/>
        <w:numPr>
          <w:numId w:val="0"/>
        </w:numPr>
        <w:spacing w:before="190"/>
        <w:rPr>
          <w:rFonts w:ascii="宋体" w:hAnsi="宋体"/>
          <w:color w:val="000000"/>
        </w:rPr>
      </w:pPr>
      <w:bookmarkStart w:id="619" w:name="_Toc118566785"/>
      <w:bookmarkStart w:id="620" w:name="_Toc118566518"/>
      <w:bookmarkStart w:id="621" w:name="_Toc118566651"/>
      <w:bookmarkStart w:id="622" w:name="_Toc118566385"/>
      <w:bookmarkStart w:id="623" w:name="_Toc119916772"/>
      <w:r>
        <w:rPr>
          <w:rFonts w:hint="eastAsia" w:ascii="宋体" w:hAnsi="宋体"/>
          <w:color w:val="000000"/>
        </w:rPr>
        <w:t>三、</w:t>
      </w:r>
      <w:r>
        <w:rPr>
          <w:rFonts w:ascii="宋体" w:hAnsi="宋体"/>
          <w:color w:val="000000"/>
        </w:rPr>
        <w:t>健全技术体系</w:t>
      </w:r>
      <w:bookmarkEnd w:id="619"/>
      <w:bookmarkEnd w:id="620"/>
      <w:bookmarkEnd w:id="621"/>
      <w:bookmarkEnd w:id="622"/>
      <w:bookmarkEnd w:id="623"/>
    </w:p>
    <w:p>
      <w:pPr>
        <w:adjustRightInd w:val="0"/>
        <w:snapToGrid w:val="0"/>
        <w:spacing w:after="172"/>
        <w:ind w:left="-15" w:firstLine="560"/>
        <w:rPr>
          <w:color w:val="000000"/>
        </w:rPr>
      </w:pPr>
      <w:r>
        <w:rPr>
          <w:color w:val="000000"/>
        </w:rPr>
        <w:t>探索健全适合</w:t>
      </w:r>
      <w:r>
        <w:rPr>
          <w:rFonts w:hint="eastAsia"/>
          <w:color w:val="000000"/>
        </w:rPr>
        <w:t>广元</w:t>
      </w:r>
      <w:r>
        <w:rPr>
          <w:color w:val="000000"/>
        </w:rPr>
        <w:t>的城乡人居环境建设技术支撑体系，加快建立市域城乡人居环境建设综合规划，以及县区、镇乡级专项规划体系，各级城乡人居环境建设规划要纳入同级国民经济发展规划和国土空间规划，同步建立城乡人居环境建设工程专题研究和设计管理机制，研究制定体检、评估、规划、设计、管理、验收等环节的标准规范、指标体系等技术文件，加强规划和建设项目的监测评估，推动形成城乡人居环境建设体检评估、规划设计、项目管控、监督验收全过程技术保障工作制度。</w:t>
      </w:r>
    </w:p>
    <w:p>
      <w:pPr>
        <w:pStyle w:val="5"/>
        <w:numPr>
          <w:numId w:val="0"/>
        </w:numPr>
        <w:spacing w:before="190"/>
        <w:rPr>
          <w:rFonts w:ascii="宋体" w:hAnsi="宋体"/>
          <w:color w:val="000000"/>
        </w:rPr>
      </w:pPr>
      <w:bookmarkStart w:id="624" w:name="_Toc118566519"/>
      <w:bookmarkStart w:id="625" w:name="_Toc118566386"/>
      <w:bookmarkStart w:id="626" w:name="_Toc118566652"/>
      <w:bookmarkStart w:id="627" w:name="_Toc119916773"/>
      <w:bookmarkStart w:id="628" w:name="_Toc118566786"/>
      <w:r>
        <w:rPr>
          <w:rFonts w:hint="eastAsia" w:ascii="宋体" w:hAnsi="宋体"/>
          <w:color w:val="000000"/>
        </w:rPr>
        <w:t>四、</w:t>
      </w:r>
      <w:r>
        <w:rPr>
          <w:rFonts w:ascii="宋体" w:hAnsi="宋体"/>
          <w:color w:val="000000"/>
        </w:rPr>
        <w:t>加强人才建设</w:t>
      </w:r>
      <w:bookmarkEnd w:id="624"/>
      <w:bookmarkEnd w:id="625"/>
      <w:bookmarkEnd w:id="626"/>
      <w:bookmarkEnd w:id="627"/>
      <w:bookmarkEnd w:id="628"/>
    </w:p>
    <w:p>
      <w:pPr>
        <w:adjustRightInd w:val="0"/>
        <w:snapToGrid w:val="0"/>
        <w:ind w:left="-15" w:firstLine="560"/>
        <w:rPr>
          <w:color w:val="000000"/>
        </w:rPr>
      </w:pPr>
      <w:r>
        <w:rPr>
          <w:color w:val="000000"/>
        </w:rPr>
        <w:t>加大学习培训力度，加快培养一批懂城市、精业务、善管理的干部，健全城乡人居环境规划、建设、运行、管理队伍。建立专家库，鼓励规划师、工程师、设计师、园林师等专业人才全程跟踪服务。进一步优化行业人才发展环境，完善行业人才培育、奖励机制。</w:t>
      </w:r>
    </w:p>
    <w:p>
      <w:pPr>
        <w:pStyle w:val="5"/>
        <w:numPr>
          <w:numId w:val="0"/>
        </w:numPr>
        <w:spacing w:before="190"/>
        <w:rPr>
          <w:rFonts w:ascii="宋体" w:hAnsi="宋体"/>
          <w:color w:val="000000"/>
        </w:rPr>
      </w:pPr>
      <w:bookmarkStart w:id="629" w:name="_Toc119916774"/>
      <w:bookmarkStart w:id="630" w:name="_Toc118566787"/>
      <w:bookmarkStart w:id="631" w:name="_Toc118566387"/>
      <w:bookmarkStart w:id="632" w:name="_Toc118566520"/>
      <w:bookmarkStart w:id="633" w:name="_Toc118566653"/>
      <w:r>
        <w:rPr>
          <w:rFonts w:hint="eastAsia" w:ascii="宋体" w:hAnsi="宋体"/>
          <w:color w:val="000000"/>
        </w:rPr>
        <w:t>五、</w:t>
      </w:r>
      <w:r>
        <w:rPr>
          <w:rFonts w:ascii="宋体" w:hAnsi="宋体"/>
          <w:color w:val="000000"/>
        </w:rPr>
        <w:t>强化监督考核</w:t>
      </w:r>
      <w:bookmarkEnd w:id="629"/>
      <w:bookmarkEnd w:id="630"/>
      <w:bookmarkEnd w:id="631"/>
      <w:bookmarkEnd w:id="632"/>
      <w:bookmarkEnd w:id="633"/>
    </w:p>
    <w:p>
      <w:pPr>
        <w:adjustRightInd w:val="0"/>
        <w:snapToGrid w:val="0"/>
        <w:ind w:left="-15" w:firstLine="560"/>
        <w:rPr>
          <w:color w:val="000000"/>
        </w:rPr>
      </w:pPr>
      <w:r>
        <w:rPr>
          <w:color w:val="000000"/>
        </w:rPr>
        <w:t>市、县两级要建立城乡人居环境建设实施绩效考核制度，严格目标管理和工作问责。住房城乡建设局要加大对各市县城乡人居环境建设工作的跟踪指导，出台相关考核评价方法，建立日常督导、季度通报、年度考核、达标验收相结合的考评激励机制，定期组织开展实施绩效评价和试点经验推广。对人居环境建设成就突出的</w:t>
      </w:r>
      <w:r>
        <w:rPr>
          <w:rFonts w:hint="eastAsia"/>
          <w:color w:val="000000"/>
        </w:rPr>
        <w:t>区</w:t>
      </w:r>
      <w:r>
        <w:rPr>
          <w:color w:val="000000"/>
        </w:rPr>
        <w:t>县，相关资金支持、项目安排应有一定倾斜，对实施进度严重滞后的</w:t>
      </w:r>
      <w:r>
        <w:rPr>
          <w:rFonts w:hint="eastAsia"/>
          <w:color w:val="000000"/>
        </w:rPr>
        <w:t>区县</w:t>
      </w:r>
      <w:r>
        <w:rPr>
          <w:color w:val="000000"/>
        </w:rPr>
        <w:t>应进行通报约谈，并将实施建设内容纳入对各</w:t>
      </w:r>
      <w:r>
        <w:rPr>
          <w:rFonts w:hint="eastAsia"/>
          <w:color w:val="000000"/>
        </w:rPr>
        <w:t>区</w:t>
      </w:r>
      <w:r>
        <w:rPr>
          <w:color w:val="000000"/>
        </w:rPr>
        <w:t>县年度目标绩效考核范围内。</w:t>
      </w:r>
      <w:r>
        <w:rPr>
          <w:rFonts w:ascii="仿宋_GB2312" w:hAnsi="仿宋_GB2312" w:eastAsia="仿宋_GB2312" w:cs="仿宋_GB2312"/>
          <w:color w:val="000000"/>
        </w:rPr>
        <w:t xml:space="preserve"> </w:t>
      </w:r>
    </w:p>
    <w:p>
      <w:pPr>
        <w:pStyle w:val="5"/>
        <w:numPr>
          <w:numId w:val="0"/>
        </w:numPr>
        <w:spacing w:before="190"/>
        <w:rPr>
          <w:rFonts w:ascii="宋体" w:hAnsi="宋体"/>
          <w:color w:val="000000"/>
        </w:rPr>
      </w:pPr>
      <w:bookmarkStart w:id="634" w:name="_Toc119916775"/>
      <w:bookmarkStart w:id="635" w:name="_Toc118566788"/>
      <w:bookmarkStart w:id="636" w:name="_Toc118566654"/>
      <w:bookmarkStart w:id="637" w:name="_Toc118566388"/>
      <w:bookmarkStart w:id="638" w:name="_Toc97218876"/>
      <w:bookmarkStart w:id="639" w:name="_Toc118566521"/>
      <w:r>
        <w:rPr>
          <w:rFonts w:hint="eastAsia" w:ascii="宋体" w:hAnsi="宋体"/>
          <w:color w:val="000000"/>
          <w:shd w:val="clear" w:color="auto" w:fill="FFFFFF"/>
        </w:rPr>
        <w:t>六、</w:t>
      </w:r>
      <w:r>
        <w:rPr>
          <w:rFonts w:hint="eastAsia" w:ascii="宋体" w:hAnsi="宋体"/>
          <w:color w:val="000000"/>
        </w:rPr>
        <w:t>强化资金保障</w:t>
      </w:r>
      <w:bookmarkEnd w:id="634"/>
      <w:bookmarkEnd w:id="635"/>
      <w:bookmarkEnd w:id="636"/>
      <w:bookmarkEnd w:id="637"/>
      <w:bookmarkEnd w:id="638"/>
      <w:bookmarkEnd w:id="639"/>
    </w:p>
    <w:p>
      <w:pPr>
        <w:adjustRightInd w:val="0"/>
        <w:snapToGrid w:val="0"/>
        <w:ind w:firstLine="560"/>
        <w:rPr>
          <w:rFonts w:ascii="宋体" w:hAnsi="宋体"/>
          <w:color w:val="000000"/>
          <w:shd w:val="clear" w:color="auto" w:fill="FFFFFF"/>
        </w:rPr>
      </w:pPr>
      <w:r>
        <w:rPr>
          <w:rFonts w:hint="eastAsia" w:ascii="宋体" w:hAnsi="宋体"/>
          <w:color w:val="000000"/>
          <w:shd w:val="clear" w:color="auto" w:fill="FFFFFF"/>
        </w:rPr>
        <w:t>建立政府引导、市场主导、社会参与多元化的资金投入保障机制。努力协调各级财政加大保障力度，积极争取专项资金、地方政府专项债券、中央预算内资金的支持，统筹整合各同类性质资金，强化资金绩效管理。鼓励、引导金融机构加大金融支持力度。支持符合条件的市政公用企业发行绿色债券，探索项目收益权、特许经营权等质押融资，推动基础设施领域不动产投资信托基金发展。建立健全生态补偿与生态产品市场交易机制，探索建立排污权有偿使用机制和城市更新权益分配机制等，做好城市基础设施配套费、市政公共资源有偿使用收入等的收取、使用，通过资本市场和开发性、政策性金融等多元融资渠道，吸引社会资本参与城乡人居环境建设项目的投资、建设、运营管理，提高人居环境设施供给能力与效率。</w:t>
      </w:r>
    </w:p>
    <w:p>
      <w:pPr>
        <w:pStyle w:val="5"/>
        <w:numPr>
          <w:numId w:val="0"/>
        </w:numPr>
        <w:spacing w:before="190"/>
        <w:rPr>
          <w:rFonts w:ascii="宋体" w:hAnsi="宋体"/>
          <w:color w:val="000000"/>
        </w:rPr>
      </w:pPr>
      <w:bookmarkStart w:id="640" w:name="_Toc119916776"/>
      <w:bookmarkStart w:id="641" w:name="_Toc118566522"/>
      <w:bookmarkStart w:id="642" w:name="_Toc118566389"/>
      <w:bookmarkStart w:id="643" w:name="_Toc118566789"/>
      <w:bookmarkStart w:id="644" w:name="_Toc118566655"/>
      <w:bookmarkStart w:id="645" w:name="_Toc97218877"/>
      <w:r>
        <w:rPr>
          <w:rFonts w:hint="eastAsia" w:ascii="宋体" w:hAnsi="宋体"/>
          <w:color w:val="000000"/>
        </w:rPr>
        <w:t>七、</w:t>
      </w:r>
      <w:r>
        <w:rPr>
          <w:rFonts w:ascii="宋体" w:hAnsi="宋体"/>
          <w:color w:val="000000"/>
        </w:rPr>
        <w:t>引导公众参与</w:t>
      </w:r>
      <w:bookmarkEnd w:id="640"/>
      <w:bookmarkEnd w:id="641"/>
      <w:bookmarkEnd w:id="642"/>
      <w:bookmarkEnd w:id="643"/>
      <w:bookmarkEnd w:id="644"/>
    </w:p>
    <w:p>
      <w:pPr>
        <w:adjustRightInd w:val="0"/>
        <w:snapToGrid w:val="0"/>
        <w:ind w:firstLine="560"/>
        <w:rPr>
          <w:rFonts w:ascii="宋体" w:hAnsi="宋体"/>
          <w:color w:val="000000"/>
        </w:rPr>
      </w:pPr>
      <w:r>
        <w:rPr>
          <w:rFonts w:hint="eastAsia" w:ascii="宋体" w:hAnsi="宋体"/>
          <w:color w:val="000000"/>
          <w:shd w:val="clear" w:color="auto" w:fill="FFFFFF"/>
        </w:rPr>
        <w:t>动员广大群众参与人居环境建设，支持各地利用当地宣传媒体，加大宣传力度，积极总结和推广各地人民群众参与人居环境建设行动的好经验好做法，引导推动公众参与。尊重市民对城乡发展决策的知情权、参与权、监督权，鼓励群众通过各种方式参与人居环境建设，推动实现共治共管、共建共享。</w:t>
      </w:r>
      <w:bookmarkEnd w:id="645"/>
    </w:p>
    <w:p>
      <w:pPr>
        <w:pStyle w:val="14"/>
        <w:wordWrap/>
        <w:spacing w:before="0" w:beforeAutospacing="0" w:after="0" w:afterAutospacing="0" w:line="576" w:lineRule="exact"/>
        <w:ind w:right="640"/>
        <w:jc w:val="both"/>
        <w:textAlignment w:val="auto"/>
        <w:rPr>
          <w:rFonts w:hint="eastAsia" w:ascii="仿宋_GB2312" w:hAnsi="Helvetica" w:eastAsia="仿宋_GB2312"/>
          <w:color w:val="000000"/>
          <w:sz w:val="32"/>
          <w:szCs w:val="32"/>
        </w:rPr>
      </w:pPr>
    </w:p>
    <w:sectPr>
      <w:pgSz w:w="11906" w:h="16838"/>
      <w:pgMar w:top="2098" w:right="1474" w:bottom="1985" w:left="1588" w:header="851" w:footer="992" w:gutter="0"/>
      <w:cols w:space="72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2000000000000000000"/>
    <w:charset w:val="86"/>
    <w:family w:val="auto"/>
    <w:pitch w:val="default"/>
    <w:sig w:usb0="A00002BF" w:usb1="38CF7CFA" w:usb2="00082016" w:usb3="00000000" w:csb0="00040001" w:csb1="00000000"/>
  </w:font>
  <w:font w:name="楷体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等线">
    <w:altName w:val="仿宋_GB2312"/>
    <w:panose1 w:val="02010600030101010101"/>
    <w:charset w:val="86"/>
    <w:family w:val="auto"/>
    <w:pitch w:val="default"/>
    <w:sig w:usb0="00000000" w:usb1="00000000" w:usb2="00000016" w:usb3="00000000" w:csb0="0004000F" w:csb1="00000000"/>
  </w:font>
  <w:font w:name="Calibri">
    <w:panose1 w:val="020F0502020204030204"/>
    <w:charset w:val="00"/>
    <w:family w:val="auto"/>
    <w:pitch w:val="default"/>
    <w:sig w:usb0="E10002FF" w:usb1="4000ACFF" w:usb2="00000009" w:usb3="00000000" w:csb0="2000019F" w:csb1="00000000"/>
  </w:font>
  <w:font w:name="等线 Light">
    <w:altName w:val="仿宋_GB2312"/>
    <w:panose1 w:val="02010600030101010101"/>
    <w:charset w:val="00"/>
    <w:family w:val="auto"/>
    <w:pitch w:val="default"/>
    <w:sig w:usb0="00000000" w:usb1="00000000" w:usb2="00000016" w:usb3="00000000" w:csb0="0004000F" w:csb1="00000000"/>
  </w:font>
  <w:font w:name="Helvetica">
    <w:altName w:val="Arial"/>
    <w:panose1 w:val="020B0604020202020204"/>
    <w:charset w:val="00"/>
    <w:family w:val="auto"/>
    <w:pitch w:val="default"/>
    <w:sig w:usb0="00000000" w:usb1="00000000" w:usb2="00000000" w:usb3="00000000" w:csb0="00000001" w:csb1="00000000"/>
  </w:font>
  <w:font w:name="SourceHanSansCN">
    <w:altName w:val="仿宋_GB2312"/>
    <w:panose1 w:val="00000000000000000000"/>
    <w:charset w:val="00"/>
    <w:family w:val="auto"/>
    <w:pitch w:val="default"/>
    <w:sig w:usb0="00000000" w:usb1="00000000" w:usb2="00000000" w:usb3="00000000" w:csb0="00040001" w:csb1="00000000"/>
  </w:font>
  <w:font w:name="仿宋">
    <w:altName w:val="仿宋_GB2312"/>
    <w:panose1 w:val="02010609060101010101"/>
    <w:charset w:val="00"/>
    <w:family w:val="auto"/>
    <w:pitch w:val="default"/>
    <w:sig w:usb0="00000000" w:usb1="00000000"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p>
    <w:pPr>
      <w:ind w:firstLine="5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firstLine="560"/>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66" w:line="259" w:lineRule="auto"/>
      <w:ind w:left="38" w:firstLine="480"/>
      <w:jc w:val="center"/>
    </w:pPr>
    <w:r>
      <w:rPr>
        <w:rFonts w:ascii="仿宋_GB2312" w:hAnsi="仿宋_GB2312" w:eastAsia="仿宋_GB2312" w:cs="仿宋_GB2312"/>
        <w:sz w:val="24"/>
      </w:rPr>
      <w:t xml:space="preserve">- </w:t>
    </w:r>
    <w:r>
      <w:fldChar w:fldCharType="begin"/>
    </w:r>
    <w:r>
      <w:instrText xml:space="preserve"> PAGE   \* MERGEFORMAT </w:instrText>
    </w:r>
    <w:r>
      <w:fldChar w:fldCharType="separate"/>
    </w:r>
    <w:r>
      <w:rPr>
        <w:sz w:val="24"/>
      </w:rPr>
      <w:t>52</w:t>
    </w:r>
    <w:r>
      <w:rPr>
        <w:sz w:val="24"/>
      </w:rPr>
      <w:fldChar w:fldCharType="end"/>
    </w:r>
    <w:r>
      <w:rPr>
        <w:rFonts w:ascii="仿宋_GB2312" w:hAnsi="仿宋_GB2312" w:eastAsia="仿宋_GB2312" w:cs="仿宋_GB2312"/>
        <w:sz w:val="24"/>
      </w:rP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66" w:line="259" w:lineRule="auto"/>
      <w:ind w:left="38" w:firstLine="480"/>
      <w:jc w:val="center"/>
    </w:pPr>
    <w:r>
      <w:rPr>
        <w:rFonts w:ascii="仿宋_GB2312" w:hAnsi="仿宋_GB2312" w:eastAsia="仿宋_GB2312" w:cs="仿宋_GB2312"/>
        <w:sz w:val="24"/>
      </w:rPr>
      <w:t xml:space="preserve">- </w:t>
    </w:r>
    <w:r>
      <w:fldChar w:fldCharType="begin"/>
    </w:r>
    <w:r>
      <w:instrText xml:space="preserve"> PAGE   \* MERGEFORMAT </w:instrText>
    </w:r>
    <w:r>
      <w:fldChar w:fldCharType="separate"/>
    </w:r>
    <w:r>
      <w:rPr>
        <w:rFonts w:ascii="仿宋_GB2312" w:hAnsi="仿宋_GB2312" w:eastAsia="仿宋_GB2312" w:cs="仿宋_GB2312"/>
        <w:sz w:val="24"/>
      </w:rPr>
      <w:t>1</w:t>
    </w:r>
    <w:r>
      <w:rPr>
        <w:sz w:val="24"/>
      </w:rPr>
      <w:fldChar w:fldCharType="end"/>
    </w:r>
    <w:r>
      <w:rPr>
        <w:rFonts w:ascii="仿宋_GB2312" w:hAnsi="仿宋_GB2312" w:eastAsia="仿宋_GB2312" w:cs="仿宋_GB2312"/>
        <w:sz w:val="24"/>
      </w:rPr>
      <w:t xml:space="preserve"> - </w:t>
    </w:r>
  </w:p>
  <w:p>
    <w:pPr>
      <w:spacing w:line="259" w:lineRule="auto"/>
      <w:ind w:left="641" w:firstLine="560"/>
    </w:pPr>
    <w:r>
      <w:rPr>
        <w:rFonts w:ascii="Calibri" w:hAnsi="Calibri" w:eastAsia="Calibri" w:cs="Calibri"/>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266" w:line="259" w:lineRule="auto"/>
      <w:ind w:left="38" w:firstLine="480"/>
      <w:jc w:val="center"/>
    </w:pPr>
    <w:r>
      <w:rPr>
        <w:rFonts w:ascii="仿宋_GB2312" w:hAnsi="仿宋_GB2312" w:eastAsia="仿宋_GB2312" w:cs="仿宋_GB2312"/>
        <w:sz w:val="24"/>
      </w:rPr>
      <w:t xml:space="preserve">- </w:t>
    </w:r>
    <w:r>
      <w:fldChar w:fldCharType="begin"/>
    </w:r>
    <w:r>
      <w:instrText xml:space="preserve"> PAGE   \* MERGEFORMAT </w:instrText>
    </w:r>
    <w:r>
      <w:fldChar w:fldCharType="separate"/>
    </w:r>
    <w:r>
      <w:rPr>
        <w:rFonts w:ascii="仿宋_GB2312" w:hAnsi="仿宋_GB2312" w:eastAsia="仿宋_GB2312" w:cs="仿宋_GB2312"/>
        <w:sz w:val="24"/>
      </w:rPr>
      <w:t>1</w:t>
    </w:r>
    <w:r>
      <w:rPr>
        <w:sz w:val="24"/>
      </w:rPr>
      <w:fldChar w:fldCharType="end"/>
    </w:r>
    <w:r>
      <w:rPr>
        <w:rFonts w:ascii="仿宋_GB2312" w:hAnsi="仿宋_GB2312" w:eastAsia="仿宋_GB2312" w:cs="仿宋_GB2312"/>
        <w:sz w:val="24"/>
      </w:rPr>
      <w:t xml:space="preserve"> - </w:t>
    </w:r>
  </w:p>
  <w:p>
    <w:pPr>
      <w:spacing w:line="259" w:lineRule="auto"/>
      <w:ind w:left="641" w:firstLine="560"/>
    </w:pPr>
    <w:r>
      <w:rPr>
        <w:rFonts w:ascii="Calibri" w:hAnsi="Calibri" w:eastAsia="Calibri" w:cs="Calibri"/>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ind w:firstLine="360"/>
    </w:pPr>
  </w:p>
  <w:p>
    <w:pPr>
      <w:ind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184779510">
    <w:nsid w:val="469E4CF6"/>
    <w:multiLevelType w:val="multilevel"/>
    <w:tmpl w:val="469E4CF6"/>
    <w:lvl w:ilvl="0" w:tentative="1">
      <w:start w:val="1"/>
      <w:numFmt w:val="decimal"/>
      <w:suff w:val="space"/>
      <w:lvlText w:val="%1."/>
      <w:lvlJc w:val="left"/>
      <w:pPr>
        <w:ind w:left="375" w:hanging="375"/>
      </w:pPr>
      <w:rPr>
        <w:rFonts w:hint="default"/>
        <w:b/>
      </w:rPr>
    </w:lvl>
    <w:lvl w:ilvl="1" w:tentative="1">
      <w:start w:val="1"/>
      <w:numFmt w:val="lowerLetter"/>
      <w:lvlText w:val="%2)"/>
      <w:lvlJc w:val="left"/>
      <w:pPr>
        <w:ind w:left="840" w:hanging="420"/>
      </w:pPr>
      <w:rPr>
        <w:rFonts w:hint="eastAsia"/>
      </w:rPr>
    </w:lvl>
    <w:lvl w:ilvl="2" w:tentative="1">
      <w:start w:val="1"/>
      <w:numFmt w:val="lowerRoman"/>
      <w:lvlText w:val="%3."/>
      <w:lvlJc w:val="right"/>
      <w:pPr>
        <w:ind w:left="1260" w:hanging="420"/>
      </w:pPr>
      <w:rPr>
        <w:rFonts w:hint="eastAsia"/>
      </w:rPr>
    </w:lvl>
    <w:lvl w:ilvl="3" w:tentative="1">
      <w:start w:val="1"/>
      <w:numFmt w:val="decimal"/>
      <w:lvlText w:val="%4."/>
      <w:lvlJc w:val="left"/>
      <w:pPr>
        <w:ind w:left="1680" w:hanging="420"/>
      </w:pPr>
      <w:rPr>
        <w:rFonts w:hint="eastAsia"/>
      </w:rPr>
    </w:lvl>
    <w:lvl w:ilvl="4" w:tentative="1">
      <w:start w:val="1"/>
      <w:numFmt w:val="lowerLetter"/>
      <w:lvlText w:val="%5)"/>
      <w:lvlJc w:val="left"/>
      <w:pPr>
        <w:ind w:left="2100" w:hanging="420"/>
      </w:pPr>
      <w:rPr>
        <w:rFonts w:hint="eastAsia"/>
      </w:rPr>
    </w:lvl>
    <w:lvl w:ilvl="5" w:tentative="1">
      <w:start w:val="1"/>
      <w:numFmt w:val="lowerRoman"/>
      <w:lvlText w:val="%6."/>
      <w:lvlJc w:val="right"/>
      <w:pPr>
        <w:ind w:left="2520" w:hanging="420"/>
      </w:pPr>
      <w:rPr>
        <w:rFonts w:hint="eastAsia"/>
      </w:rPr>
    </w:lvl>
    <w:lvl w:ilvl="6" w:tentative="1">
      <w:start w:val="1"/>
      <w:numFmt w:val="decimal"/>
      <w:lvlText w:val="%7."/>
      <w:lvlJc w:val="left"/>
      <w:pPr>
        <w:ind w:left="2940" w:hanging="420"/>
      </w:pPr>
      <w:rPr>
        <w:rFonts w:hint="eastAsia"/>
      </w:rPr>
    </w:lvl>
    <w:lvl w:ilvl="7" w:tentative="1">
      <w:start w:val="1"/>
      <w:numFmt w:val="lowerLetter"/>
      <w:lvlText w:val="%8)"/>
      <w:lvlJc w:val="left"/>
      <w:pPr>
        <w:ind w:left="3360" w:hanging="420"/>
      </w:pPr>
      <w:rPr>
        <w:rFonts w:hint="eastAsia"/>
      </w:rPr>
    </w:lvl>
    <w:lvl w:ilvl="8" w:tentative="1">
      <w:start w:val="1"/>
      <w:numFmt w:val="lowerRoman"/>
      <w:lvlText w:val="%9."/>
      <w:lvlJc w:val="right"/>
      <w:pPr>
        <w:ind w:left="3780" w:hanging="420"/>
      </w:pPr>
      <w:rPr>
        <w:rFonts w:hint="eastAsia"/>
      </w:rPr>
    </w:lvl>
  </w:abstractNum>
  <w:abstractNum w:abstractNumId="1526015867">
    <w:nsid w:val="5AF5277B"/>
    <w:multiLevelType w:val="multilevel"/>
    <w:tmpl w:val="5AF5277B"/>
    <w:lvl w:ilvl="0" w:tentative="1">
      <w:start w:val="1"/>
      <w:numFmt w:val="chineseCountingThousand"/>
      <w:suff w:val="nothing"/>
      <w:lvlText w:val="%1、"/>
      <w:lvlJc w:val="left"/>
      <w:pPr>
        <w:ind w:left="0" w:firstLine="0"/>
      </w:pPr>
      <w:rPr>
        <w:rFonts w:hint="default"/>
      </w:rPr>
    </w:lvl>
    <w:lvl w:ilvl="1" w:tentative="1">
      <w:start w:val="1"/>
      <w:numFmt w:val="chineseCountingThousand"/>
      <w:suff w:val="nothing"/>
      <w:lvlText w:val="（%2）"/>
      <w:lvlJc w:val="left"/>
      <w:pPr>
        <w:ind w:left="0" w:firstLine="284"/>
      </w:pPr>
      <w:rPr>
        <w:rFonts w:hint="eastAsia"/>
      </w:rPr>
    </w:lvl>
    <w:lvl w:ilvl="2" w:tentative="1">
      <w:start w:val="1"/>
      <w:numFmt w:val="lowerRoman"/>
      <w:lvlText w:val="%3."/>
      <w:lvlJc w:val="right"/>
      <w:pPr>
        <w:ind w:left="1980" w:hanging="420"/>
      </w:pPr>
      <w:rPr>
        <w:rFonts w:hint="eastAsia"/>
      </w:rPr>
    </w:lvl>
    <w:lvl w:ilvl="3" w:tentative="1">
      <w:start w:val="1"/>
      <w:numFmt w:val="decimal"/>
      <w:lvlText w:val="%4."/>
      <w:lvlJc w:val="left"/>
      <w:pPr>
        <w:ind w:left="2400" w:hanging="420"/>
      </w:pPr>
      <w:rPr>
        <w:rFonts w:hint="eastAsia"/>
      </w:rPr>
    </w:lvl>
    <w:lvl w:ilvl="4" w:tentative="1">
      <w:start w:val="1"/>
      <w:numFmt w:val="lowerLetter"/>
      <w:lvlText w:val="%5)"/>
      <w:lvlJc w:val="left"/>
      <w:pPr>
        <w:ind w:left="2820" w:hanging="420"/>
      </w:pPr>
      <w:rPr>
        <w:rFonts w:hint="eastAsia"/>
      </w:rPr>
    </w:lvl>
    <w:lvl w:ilvl="5" w:tentative="1">
      <w:start w:val="1"/>
      <w:numFmt w:val="lowerRoman"/>
      <w:lvlText w:val="%6."/>
      <w:lvlJc w:val="right"/>
      <w:pPr>
        <w:ind w:left="3240" w:hanging="420"/>
      </w:pPr>
      <w:rPr>
        <w:rFonts w:hint="eastAsia"/>
      </w:rPr>
    </w:lvl>
    <w:lvl w:ilvl="6" w:tentative="1">
      <w:start w:val="1"/>
      <w:numFmt w:val="decimal"/>
      <w:lvlText w:val="%7."/>
      <w:lvlJc w:val="left"/>
      <w:pPr>
        <w:ind w:left="3660" w:hanging="420"/>
      </w:pPr>
      <w:rPr>
        <w:rFonts w:hint="eastAsia"/>
      </w:rPr>
    </w:lvl>
    <w:lvl w:ilvl="7" w:tentative="1">
      <w:start w:val="1"/>
      <w:numFmt w:val="lowerLetter"/>
      <w:lvlText w:val="%8)"/>
      <w:lvlJc w:val="left"/>
      <w:pPr>
        <w:ind w:left="4080" w:hanging="420"/>
      </w:pPr>
      <w:rPr>
        <w:rFonts w:hint="eastAsia"/>
      </w:rPr>
    </w:lvl>
    <w:lvl w:ilvl="8" w:tentative="1">
      <w:start w:val="1"/>
      <w:numFmt w:val="lowerRoman"/>
      <w:lvlText w:val="%9."/>
      <w:lvlJc w:val="right"/>
      <w:pPr>
        <w:ind w:left="4500" w:hanging="420"/>
      </w:pPr>
      <w:rPr>
        <w:rFonts w:hint="eastAsia"/>
      </w:rPr>
    </w:lvl>
  </w:abstractNum>
  <w:abstractNum w:abstractNumId="160238380">
    <w:nsid w:val="098D0B2C"/>
    <w:multiLevelType w:val="multilevel"/>
    <w:tmpl w:val="098D0B2C"/>
    <w:lvl w:ilvl="0" w:tentative="1">
      <w:start w:val="1"/>
      <w:numFmt w:val="chineseCountingThousand"/>
      <w:suff w:val="nothing"/>
      <w:lvlText w:val="%1、"/>
      <w:lvlJc w:val="left"/>
      <w:pPr>
        <w:ind w:left="0" w:firstLine="0"/>
      </w:pPr>
      <w:rPr>
        <w:rFonts w:hint="default"/>
      </w:rPr>
    </w:lvl>
    <w:lvl w:ilvl="1" w:tentative="1">
      <w:start w:val="1"/>
      <w:numFmt w:val="chineseCountingThousand"/>
      <w:suff w:val="nothing"/>
      <w:lvlText w:val="（%2）"/>
      <w:lvlJc w:val="left"/>
      <w:pPr>
        <w:ind w:left="0" w:firstLine="284"/>
      </w:pPr>
      <w:rPr>
        <w:rFonts w:hint="eastAsia"/>
      </w:rPr>
    </w:lvl>
    <w:lvl w:ilvl="2" w:tentative="1">
      <w:start w:val="1"/>
      <w:numFmt w:val="lowerRoman"/>
      <w:lvlText w:val="%3."/>
      <w:lvlJc w:val="right"/>
      <w:pPr>
        <w:ind w:left="1980" w:hanging="420"/>
      </w:pPr>
      <w:rPr>
        <w:rFonts w:hint="eastAsia"/>
      </w:rPr>
    </w:lvl>
    <w:lvl w:ilvl="3" w:tentative="1">
      <w:start w:val="1"/>
      <w:numFmt w:val="decimal"/>
      <w:lvlText w:val="%4."/>
      <w:lvlJc w:val="left"/>
      <w:pPr>
        <w:ind w:left="2400" w:hanging="420"/>
      </w:pPr>
      <w:rPr>
        <w:rFonts w:hint="eastAsia"/>
      </w:rPr>
    </w:lvl>
    <w:lvl w:ilvl="4" w:tentative="1">
      <w:start w:val="1"/>
      <w:numFmt w:val="lowerLetter"/>
      <w:lvlText w:val="%5)"/>
      <w:lvlJc w:val="left"/>
      <w:pPr>
        <w:ind w:left="2820" w:hanging="420"/>
      </w:pPr>
      <w:rPr>
        <w:rFonts w:hint="eastAsia"/>
      </w:rPr>
    </w:lvl>
    <w:lvl w:ilvl="5" w:tentative="1">
      <w:start w:val="1"/>
      <w:numFmt w:val="lowerRoman"/>
      <w:lvlText w:val="%6."/>
      <w:lvlJc w:val="right"/>
      <w:pPr>
        <w:ind w:left="3240" w:hanging="420"/>
      </w:pPr>
      <w:rPr>
        <w:rFonts w:hint="eastAsia"/>
      </w:rPr>
    </w:lvl>
    <w:lvl w:ilvl="6" w:tentative="1">
      <w:start w:val="1"/>
      <w:numFmt w:val="decimal"/>
      <w:lvlText w:val="%7."/>
      <w:lvlJc w:val="left"/>
      <w:pPr>
        <w:ind w:left="3660" w:hanging="420"/>
      </w:pPr>
      <w:rPr>
        <w:rFonts w:hint="eastAsia"/>
      </w:rPr>
    </w:lvl>
    <w:lvl w:ilvl="7" w:tentative="1">
      <w:start w:val="1"/>
      <w:numFmt w:val="lowerLetter"/>
      <w:lvlText w:val="%8)"/>
      <w:lvlJc w:val="left"/>
      <w:pPr>
        <w:ind w:left="4080" w:hanging="420"/>
      </w:pPr>
      <w:rPr>
        <w:rFonts w:hint="eastAsia"/>
      </w:rPr>
    </w:lvl>
    <w:lvl w:ilvl="8" w:tentative="1">
      <w:start w:val="1"/>
      <w:numFmt w:val="lowerRoman"/>
      <w:lvlText w:val="%9."/>
      <w:lvlJc w:val="right"/>
      <w:pPr>
        <w:ind w:left="4500" w:hanging="420"/>
      </w:pPr>
      <w:rPr>
        <w:rFonts w:hint="eastAsia"/>
      </w:rPr>
    </w:lvl>
  </w:abstractNum>
  <w:abstractNum w:abstractNumId="102120345">
    <w:nsid w:val="06163B99"/>
    <w:multiLevelType w:val="multilevel"/>
    <w:tmpl w:val="06163B99"/>
    <w:lvl w:ilvl="0" w:tentative="1">
      <w:start w:val="1"/>
      <w:numFmt w:val="chineseCountingThousand"/>
      <w:suff w:val="space"/>
      <w:lvlText w:val="(%1)"/>
      <w:lvlJc w:val="left"/>
      <w:pPr>
        <w:ind w:left="982" w:hanging="420"/>
      </w:pPr>
      <w:rPr>
        <w:rFonts w:hint="eastAsia"/>
      </w:rPr>
    </w:lvl>
    <w:lvl w:ilvl="1" w:tentative="1">
      <w:start w:val="1"/>
      <w:numFmt w:val="lowerLetter"/>
      <w:lvlText w:val="%2)"/>
      <w:lvlJc w:val="left"/>
      <w:pPr>
        <w:ind w:left="1402" w:hanging="420"/>
      </w:pPr>
    </w:lvl>
    <w:lvl w:ilvl="2" w:tentative="1">
      <w:start w:val="1"/>
      <w:numFmt w:val="lowerRoman"/>
      <w:lvlText w:val="%3."/>
      <w:lvlJc w:val="right"/>
      <w:pPr>
        <w:ind w:left="1822" w:hanging="420"/>
      </w:pPr>
    </w:lvl>
    <w:lvl w:ilvl="3" w:tentative="1">
      <w:start w:val="1"/>
      <w:numFmt w:val="decimal"/>
      <w:lvlText w:val="%4."/>
      <w:lvlJc w:val="left"/>
      <w:pPr>
        <w:ind w:left="2242" w:hanging="420"/>
      </w:pPr>
    </w:lvl>
    <w:lvl w:ilvl="4" w:tentative="1">
      <w:start w:val="1"/>
      <w:numFmt w:val="lowerLetter"/>
      <w:lvlText w:val="%5)"/>
      <w:lvlJc w:val="left"/>
      <w:pPr>
        <w:ind w:left="2662" w:hanging="420"/>
      </w:pPr>
    </w:lvl>
    <w:lvl w:ilvl="5" w:tentative="1">
      <w:start w:val="1"/>
      <w:numFmt w:val="lowerRoman"/>
      <w:lvlText w:val="%6."/>
      <w:lvlJc w:val="right"/>
      <w:pPr>
        <w:ind w:left="3082" w:hanging="420"/>
      </w:pPr>
    </w:lvl>
    <w:lvl w:ilvl="6" w:tentative="1">
      <w:start w:val="1"/>
      <w:numFmt w:val="decimal"/>
      <w:lvlText w:val="%7."/>
      <w:lvlJc w:val="left"/>
      <w:pPr>
        <w:ind w:left="3502" w:hanging="420"/>
      </w:pPr>
    </w:lvl>
    <w:lvl w:ilvl="7" w:tentative="1">
      <w:start w:val="1"/>
      <w:numFmt w:val="lowerLetter"/>
      <w:lvlText w:val="%8)"/>
      <w:lvlJc w:val="left"/>
      <w:pPr>
        <w:ind w:left="3922" w:hanging="420"/>
      </w:pPr>
    </w:lvl>
    <w:lvl w:ilvl="8" w:tentative="1">
      <w:start w:val="1"/>
      <w:numFmt w:val="lowerRoman"/>
      <w:lvlText w:val="%9."/>
      <w:lvlJc w:val="right"/>
      <w:pPr>
        <w:ind w:left="4342" w:hanging="420"/>
      </w:pPr>
    </w:lvl>
  </w:abstractNum>
  <w:num w:numId="1">
    <w:abstractNumId w:val="1526015867"/>
  </w:num>
  <w:num w:numId="2">
    <w:abstractNumId w:val="160238380"/>
  </w:num>
  <w:num w:numId="3">
    <w:abstractNumId w:val="1184779510"/>
  </w:num>
  <w:num w:numId="4">
    <w:abstractNumId w:val="1021203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3D2D81"/>
    <w:rsid w:val="0014049E"/>
    <w:rsid w:val="00375D72"/>
    <w:rsid w:val="003D2D81"/>
    <w:rsid w:val="004603C6"/>
    <w:rsid w:val="004C402B"/>
    <w:rsid w:val="0057371E"/>
    <w:rsid w:val="00677D98"/>
    <w:rsid w:val="00696E39"/>
    <w:rsid w:val="00A80ED0"/>
    <w:rsid w:val="00A943E8"/>
    <w:rsid w:val="00BB4D6D"/>
    <w:rsid w:val="00C34EC5"/>
    <w:rsid w:val="00C91B37"/>
    <w:rsid w:val="00CD4C47"/>
    <w:rsid w:val="00D94EA7"/>
    <w:rsid w:val="00E331D5"/>
    <w:rsid w:val="00E62801"/>
    <w:rsid w:val="00FC68DD"/>
    <w:rsid w:val="2E87B83C"/>
    <w:rsid w:val="3B6967A1"/>
    <w:rsid w:val="3DFFE4EB"/>
    <w:rsid w:val="3FB3891C"/>
    <w:rsid w:val="3FEF20CB"/>
    <w:rsid w:val="45F71AC6"/>
    <w:rsid w:val="5E5FDA50"/>
    <w:rsid w:val="5EABA40F"/>
    <w:rsid w:val="5FFAD23B"/>
    <w:rsid w:val="63CCAB82"/>
    <w:rsid w:val="67BF737E"/>
    <w:rsid w:val="6AD938B7"/>
    <w:rsid w:val="76AE491D"/>
    <w:rsid w:val="777B87AF"/>
    <w:rsid w:val="7AFD287E"/>
    <w:rsid w:val="7BFFEB37"/>
    <w:rsid w:val="7EDBD0AE"/>
    <w:rsid w:val="7F3BA2DF"/>
    <w:rsid w:val="7FF4493C"/>
    <w:rsid w:val="7FFA2DBD"/>
    <w:rsid w:val="9BE50041"/>
    <w:rsid w:val="9EA77694"/>
    <w:rsid w:val="9EE9A1A2"/>
    <w:rsid w:val="BF27706F"/>
    <w:rsid w:val="D7D7100E"/>
    <w:rsid w:val="EBCB659D"/>
    <w:rsid w:val="EBEF9CD3"/>
    <w:rsid w:val="F7F80B0B"/>
    <w:rsid w:val="FBE7809B"/>
    <w:rsid w:val="FBFF89A7"/>
    <w:rsid w:val="FDBFD758"/>
    <w:rsid w:val="FE6BB9B3"/>
    <w:rsid w:val="FEDB4B61"/>
    <w:rsid w:val="FF7F787E"/>
    <w:rsid w:val="FFAB99C2"/>
    <w:rsid w:val="FFF69CB6"/>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76" w:lineRule="exact"/>
      <w:jc w:val="both"/>
    </w:pPr>
    <w:rPr>
      <w:rFonts w:ascii="仿宋_GB2312" w:hAnsi="仿宋_GB2312" w:eastAsia="仿宋_GB2312" w:cs="黑体"/>
      <w:kern w:val="2"/>
      <w:sz w:val="32"/>
      <w:szCs w:val="22"/>
      <w:lang w:val="en-US" w:eastAsia="zh-CN" w:bidi="ar-SA"/>
    </w:rPr>
  </w:style>
  <w:style w:type="paragraph" w:styleId="4">
    <w:name w:val="heading 1"/>
    <w:basedOn w:val="1"/>
    <w:next w:val="1"/>
    <w:link w:val="22"/>
    <w:qFormat/>
    <w:uiPriority w:val="9"/>
    <w:pPr>
      <w:keepNext/>
      <w:keepLines/>
      <w:jc w:val="center"/>
      <w:outlineLvl w:val="0"/>
    </w:pPr>
    <w:rPr>
      <w:rFonts w:eastAsia="方正小标宋_GBK"/>
      <w:bCs/>
      <w:kern w:val="44"/>
      <w:sz w:val="44"/>
      <w:szCs w:val="44"/>
    </w:rPr>
  </w:style>
  <w:style w:type="paragraph" w:styleId="5">
    <w:name w:val="heading 2"/>
    <w:basedOn w:val="1"/>
    <w:next w:val="1"/>
    <w:link w:val="24"/>
    <w:unhideWhenUsed/>
    <w:qFormat/>
    <w:uiPriority w:val="9"/>
    <w:pPr>
      <w:keepNext/>
      <w:keepLines/>
      <w:outlineLvl w:val="1"/>
    </w:pPr>
    <w:rPr>
      <w:rFonts w:ascii="Cambria" w:hAnsi="Cambria" w:eastAsia="楷体_GB2312" w:cs="黑体"/>
      <w:b/>
      <w:bCs/>
    </w:rPr>
  </w:style>
  <w:style w:type="paragraph" w:styleId="6">
    <w:name w:val="heading 3"/>
    <w:basedOn w:val="1"/>
    <w:next w:val="1"/>
    <w:link w:val="26"/>
    <w:unhideWhenUsed/>
    <w:qFormat/>
    <w:uiPriority w:val="9"/>
    <w:pPr>
      <w:keepNext/>
      <w:keepLines/>
      <w:ind w:firstLine="200" w:firstLineChars="200"/>
      <w:outlineLvl w:val="2"/>
    </w:pPr>
    <w:rPr>
      <w:b/>
      <w:bCs/>
    </w:rPr>
  </w:style>
  <w:style w:type="paragraph" w:styleId="7">
    <w:name w:val="heading 4"/>
    <w:basedOn w:val="1"/>
    <w:next w:val="1"/>
    <w:link w:val="27"/>
    <w:unhideWhenUsed/>
    <w:qFormat/>
    <w:uiPriority w:val="9"/>
    <w:pPr>
      <w:keepNext/>
      <w:keepLines/>
      <w:ind w:firstLine="200" w:firstLineChars="200"/>
      <w:outlineLvl w:val="3"/>
    </w:pPr>
    <w:rPr>
      <w:rFonts w:ascii="Cambria" w:hAnsi="Cambria" w:cs="黑体"/>
      <w:b/>
      <w:bCs/>
      <w:szCs w:val="28"/>
    </w:rPr>
  </w:style>
  <w:style w:type="paragraph" w:styleId="8">
    <w:name w:val="heading 5"/>
    <w:basedOn w:val="1"/>
    <w:next w:val="1"/>
    <w:link w:val="28"/>
    <w:unhideWhenUsed/>
    <w:qFormat/>
    <w:uiPriority w:val="9"/>
    <w:pPr>
      <w:keepNext/>
      <w:keepLines/>
      <w:ind w:firstLine="200" w:firstLineChars="200"/>
      <w:outlineLvl w:val="4"/>
    </w:pPr>
    <w:rPr>
      <w:bCs/>
      <w:szCs w:val="28"/>
    </w:rPr>
  </w:style>
  <w:style w:type="character" w:default="1" w:styleId="16">
    <w:name w:val="Default Paragraph Font"/>
    <w:unhideWhenUsed/>
    <w:qFormat/>
    <w:uiPriority w:val="1"/>
  </w:style>
  <w:style w:type="table" w:default="1" w:styleId="18">
    <w:name w:val="Normal Table"/>
    <w:unhideWhenUsed/>
    <w:qFormat/>
    <w:uiPriority w:val="99"/>
    <w:tblPr>
      <w:tblStyle w:val="18"/>
      <w:tblLayout w:type="fixed"/>
      <w:tblCellMar>
        <w:top w:w="0" w:type="dxa"/>
        <w:left w:w="108" w:type="dxa"/>
        <w:bottom w:w="0" w:type="dxa"/>
        <w:right w:w="108" w:type="dxa"/>
      </w:tblCellMar>
    </w:tblPr>
    <w:tcPr>
      <w:textDirection w:val="lrTb"/>
    </w:tcPr>
  </w:style>
  <w:style w:type="paragraph" w:customStyle="1" w:styleId="2">
    <w:name w:val="Default"/>
    <w:next w:val="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index 5"/>
    <w:next w:val="1"/>
    <w:qFormat/>
    <w:uiPriority w:val="0"/>
    <w:pPr>
      <w:widowControl w:val="0"/>
      <w:ind w:left="1680"/>
      <w:jc w:val="both"/>
    </w:pPr>
    <w:rPr>
      <w:rFonts w:ascii="Times New Roman" w:hAnsi="Times New Roman" w:eastAsia="宋体" w:cs="Times New Roman"/>
      <w:kern w:val="2"/>
      <w:sz w:val="21"/>
      <w:szCs w:val="24"/>
      <w:lang w:val="en-US" w:eastAsia="zh-CN" w:bidi="ar-SA"/>
    </w:rPr>
  </w:style>
  <w:style w:type="paragraph" w:styleId="9">
    <w:name w:val="Body Text"/>
    <w:basedOn w:val="1"/>
    <w:link w:val="34"/>
    <w:qFormat/>
    <w:uiPriority w:val="0"/>
    <w:pPr>
      <w:ind w:firstLine="560"/>
      <w:jc w:val="left"/>
    </w:pPr>
    <w:rPr>
      <w:rFonts w:ascii="Arial" w:hAnsi="Arial" w:cs="Arial"/>
      <w:color w:val="191919"/>
      <w:szCs w:val="28"/>
      <w:shd w:val="clear" w:color="auto" w:fill="FFFFFF"/>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spacing w:before="120" w:after="120"/>
      <w:jc w:val="left"/>
    </w:pPr>
    <w:rPr>
      <w:rFonts w:ascii="等线" w:eastAsia="等线"/>
      <w:b/>
      <w:bCs/>
      <w:caps/>
      <w:sz w:val="20"/>
      <w:szCs w:val="20"/>
    </w:rPr>
  </w:style>
  <w:style w:type="paragraph" w:styleId="13">
    <w:name w:val="toc 2"/>
    <w:basedOn w:val="1"/>
    <w:next w:val="1"/>
    <w:unhideWhenUsed/>
    <w:qFormat/>
    <w:uiPriority w:val="39"/>
    <w:pPr>
      <w:ind w:left="280"/>
      <w:jc w:val="left"/>
    </w:pPr>
    <w:rPr>
      <w:rFonts w:ascii="等线" w:eastAsia="等线"/>
      <w:smallCaps/>
      <w:sz w:val="20"/>
      <w:szCs w:val="20"/>
    </w:rPr>
  </w:style>
  <w:style w:type="paragraph" w:styleId="14">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15">
    <w:name w:val="Title"/>
    <w:basedOn w:val="1"/>
    <w:next w:val="1"/>
    <w:link w:val="23"/>
    <w:qFormat/>
    <w:uiPriority w:val="10"/>
    <w:pPr>
      <w:outlineLvl w:val="0"/>
    </w:pPr>
    <w:rPr>
      <w:rFonts w:ascii="Cambria" w:hAnsi="Cambria" w:eastAsia="黑体" w:cs="黑体"/>
      <w:b/>
      <w:bCs/>
    </w:rPr>
  </w:style>
  <w:style w:type="character" w:styleId="17">
    <w:name w:val="Hyperlink"/>
    <w:unhideWhenUsed/>
    <w:qFormat/>
    <w:uiPriority w:val="99"/>
    <w:rPr>
      <w:color w:val="0563C1"/>
      <w:u w:val="single"/>
    </w:rPr>
  </w:style>
  <w:style w:type="paragraph" w:customStyle="1" w:styleId="19">
    <w:name w:val="No Spacing"/>
    <w:qFormat/>
    <w:uiPriority w:val="99"/>
    <w:pPr>
      <w:widowControl w:val="0"/>
      <w:ind w:firstLine="200" w:firstLineChars="200"/>
      <w:jc w:val="both"/>
    </w:pPr>
    <w:rPr>
      <w:rFonts w:ascii="Calibri" w:hAnsi="Calibri" w:eastAsia="仿宋_GB2312" w:cs="Times New Roman"/>
      <w:kern w:val="2"/>
      <w:sz w:val="32"/>
      <w:szCs w:val="24"/>
      <w:lang w:val="en-US" w:eastAsia="zh-CN" w:bidi="ar-SA"/>
    </w:rPr>
  </w:style>
  <w:style w:type="paragraph" w:customStyle="1" w:styleId="20">
    <w:name w:val="_Style 7"/>
    <w:basedOn w:val="4"/>
    <w:next w:val="1"/>
    <w:qFormat/>
    <w:uiPriority w:val="39"/>
    <w:pPr>
      <w:widowControl/>
      <w:spacing w:before="240" w:after="0" w:line="259" w:lineRule="auto"/>
      <w:jc w:val="left"/>
      <w:outlineLvl w:val="9"/>
    </w:pPr>
    <w:rPr>
      <w:rFonts w:ascii="等线 Light" w:hAnsi="等线 Light" w:eastAsia="等线 Light" w:cs="Times New Roman"/>
      <w:bCs w:val="0"/>
      <w:color w:val="2E74B5"/>
      <w:kern w:val="0"/>
      <w:szCs w:val="32"/>
    </w:rPr>
  </w:style>
  <w:style w:type="paragraph" w:customStyle="1" w:styleId="21">
    <w:name w:val="List Paragraph"/>
    <w:basedOn w:val="1"/>
    <w:qFormat/>
    <w:uiPriority w:val="34"/>
    <w:pPr>
      <w:ind w:firstLine="420"/>
    </w:pPr>
  </w:style>
  <w:style w:type="character" w:customStyle="1" w:styleId="22">
    <w:name w:val="标题 1 字符"/>
    <w:basedOn w:val="16"/>
    <w:link w:val="4"/>
    <w:qFormat/>
    <w:uiPriority w:val="9"/>
    <w:rPr>
      <w:rFonts w:ascii="仿宋_GB2312" w:hAnsi="仿宋_GB2312" w:eastAsia="方正小标宋_GBK" w:cs="Times New Roman"/>
      <w:bCs/>
      <w:kern w:val="44"/>
      <w:sz w:val="44"/>
      <w:szCs w:val="44"/>
    </w:rPr>
  </w:style>
  <w:style w:type="character" w:customStyle="1" w:styleId="23">
    <w:name w:val="标题 字符"/>
    <w:basedOn w:val="16"/>
    <w:link w:val="15"/>
    <w:qFormat/>
    <w:uiPriority w:val="10"/>
    <w:rPr>
      <w:rFonts w:ascii="Cambria" w:hAnsi="Cambria" w:eastAsia="黑体" w:cs="黑体"/>
      <w:b/>
      <w:bCs/>
      <w:sz w:val="32"/>
      <w:szCs w:val="32"/>
    </w:rPr>
  </w:style>
  <w:style w:type="character" w:customStyle="1" w:styleId="24">
    <w:name w:val="标题 2 字符"/>
    <w:basedOn w:val="16"/>
    <w:link w:val="5"/>
    <w:qFormat/>
    <w:uiPriority w:val="9"/>
    <w:rPr>
      <w:rFonts w:ascii="Cambria" w:hAnsi="Cambria" w:eastAsia="楷体_GB2312" w:cs="黑体"/>
      <w:b/>
      <w:bCs/>
      <w:sz w:val="32"/>
      <w:szCs w:val="32"/>
    </w:rPr>
  </w:style>
  <w:style w:type="character" w:customStyle="1" w:styleId="25">
    <w:name w:val="标题 3 字符"/>
    <w:basedOn w:val="16"/>
    <w:semiHidden/>
    <w:qFormat/>
    <w:uiPriority w:val="9"/>
    <w:rPr>
      <w:rFonts w:eastAsia="仿宋_GB2312"/>
      <w:b/>
      <w:bCs/>
      <w:sz w:val="32"/>
      <w:szCs w:val="32"/>
    </w:rPr>
  </w:style>
  <w:style w:type="character" w:customStyle="1" w:styleId="26">
    <w:name w:val="标题 3 字符1"/>
    <w:basedOn w:val="16"/>
    <w:link w:val="6"/>
    <w:qFormat/>
    <w:uiPriority w:val="9"/>
    <w:rPr>
      <w:rFonts w:eastAsia="仿宋_GB2312"/>
      <w:b/>
      <w:bCs/>
      <w:sz w:val="32"/>
      <w:szCs w:val="32"/>
    </w:rPr>
  </w:style>
  <w:style w:type="character" w:customStyle="1" w:styleId="27">
    <w:name w:val="标题 4 字符"/>
    <w:basedOn w:val="16"/>
    <w:link w:val="7"/>
    <w:qFormat/>
    <w:uiPriority w:val="9"/>
    <w:rPr>
      <w:rFonts w:ascii="Cambria" w:hAnsi="Cambria" w:eastAsia="仿宋_GB2312" w:cs="黑体"/>
      <w:b/>
      <w:bCs/>
      <w:sz w:val="32"/>
      <w:szCs w:val="28"/>
    </w:rPr>
  </w:style>
  <w:style w:type="character" w:customStyle="1" w:styleId="28">
    <w:name w:val="标题 5 字符"/>
    <w:basedOn w:val="16"/>
    <w:link w:val="8"/>
    <w:semiHidden/>
    <w:qFormat/>
    <w:uiPriority w:val="9"/>
    <w:rPr>
      <w:rFonts w:eastAsia="仿宋_GB2312"/>
      <w:bCs/>
      <w:sz w:val="32"/>
      <w:szCs w:val="28"/>
    </w:rPr>
  </w:style>
  <w:style w:type="character" w:customStyle="1" w:styleId="29">
    <w:name w:val="font"/>
    <w:basedOn w:val="16"/>
    <w:qFormat/>
    <w:uiPriority w:val="0"/>
    <w:rPr/>
  </w:style>
  <w:style w:type="character" w:customStyle="1" w:styleId="30">
    <w:name w:val="bigger"/>
    <w:basedOn w:val="16"/>
    <w:qFormat/>
    <w:uiPriority w:val="0"/>
    <w:rPr/>
  </w:style>
  <w:style w:type="character" w:customStyle="1" w:styleId="31">
    <w:name w:val="medium"/>
    <w:basedOn w:val="16"/>
    <w:qFormat/>
    <w:uiPriority w:val="0"/>
    <w:rPr/>
  </w:style>
  <w:style w:type="character" w:customStyle="1" w:styleId="32">
    <w:name w:val="smaller"/>
    <w:basedOn w:val="16"/>
    <w:qFormat/>
    <w:uiPriority w:val="0"/>
    <w:rPr/>
  </w:style>
  <w:style w:type="character" w:customStyle="1" w:styleId="33">
    <w:name w:val="gwds_more"/>
    <w:basedOn w:val="16"/>
    <w:qFormat/>
    <w:uiPriority w:val="0"/>
    <w:rPr/>
  </w:style>
  <w:style w:type="character" w:customStyle="1" w:styleId="34">
    <w:name w:val="正文文本 字符"/>
    <w:link w:val="9"/>
    <w:qFormat/>
    <w:uiPriority w:val="0"/>
    <w:rPr>
      <w:rFonts w:ascii="Arial" w:hAnsi="Arial" w:cs="Arial"/>
      <w:color w:val="191919"/>
      <w:szCs w:val="28"/>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tyles" Target="style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60</Words>
  <Characters>347</Characters>
  <Lines>2</Lines>
  <Paragraphs>1</Paragraphs>
  <ScaleCrop>false</ScaleCrop>
  <LinksUpToDate>false</LinksUpToDate>
  <CharactersWithSpaces>0</CharactersWithSpaces>
  <Application>WPS Office 专业版_9.1.0.4895_{F1E327BC-269C-435d-A152-05C5408002CA}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2021-04-13T00:43:00Z</dcterms:created>
  <dc:creator>陈松君</dc:creator>
  <cp:lastModifiedBy>Administrator</cp:lastModifiedBy>
  <cp:lastPrinted>2023-02-14T01:00:00Z</cp:lastPrinted>
  <dcterms:modified xsi:type="dcterms:W3CDTF">2023-02-14T00:57:07Z</dcterms:modified>
  <dc:title>广元市“十四五”城乡人居环境规划</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2052-9.1.0.4895</vt:lpwstr>
  </property>
</Properties>
</file>