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auto"/>
          <w:sz w:val="21"/>
          <w:szCs w:val="21"/>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27332"/>
      <w:bookmarkStart w:id="3" w:name="_Toc15396597"/>
      <w:bookmarkStart w:id="4" w:name="_Toc15377425"/>
      <w:bookmarkStart w:id="5" w:name="_Toc3864"/>
      <w:bookmarkStart w:id="6" w:name="_Toc15377193"/>
      <w:bookmarkStart w:id="7"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8" w:name="_Toc15378442"/>
      <w:bookmarkStart w:id="9" w:name="_Toc15396476"/>
      <w:bookmarkStart w:id="10" w:name="_Toc15377426"/>
      <w:bookmarkStart w:id="11" w:name="_Toc15396598"/>
      <w:bookmarkStart w:id="12" w:name="_Toc7167"/>
      <w:bookmarkStart w:id="13" w:name="_Toc1925"/>
      <w:bookmarkStart w:id="14" w:name="_Toc15377194"/>
      <w:r>
        <w:rPr>
          <w:rFonts w:hint="eastAsia" w:ascii="方正小标宋简体" w:hAnsi="方正小标宋简体" w:eastAsia="方正小标宋简体" w:cs="方正小标宋简体"/>
          <w:color w:val="auto"/>
          <w:sz w:val="72"/>
          <w:szCs w:val="72"/>
          <w:highlight w:val="none"/>
          <w:lang w:eastAsia="zh-CN"/>
        </w:rPr>
        <w:t>广元市</w:t>
      </w:r>
      <w:bookmarkEnd w:id="0"/>
      <w:bookmarkStart w:id="15" w:name="_Toc15306268"/>
      <w:r>
        <w:rPr>
          <w:rFonts w:hint="eastAsia" w:ascii="方正小标宋简体" w:hAnsi="方正小标宋简体" w:eastAsia="方正小标宋简体" w:cs="方正小标宋简体"/>
          <w:color w:val="auto"/>
          <w:sz w:val="72"/>
          <w:szCs w:val="72"/>
          <w:highlight w:val="none"/>
          <w:lang w:eastAsia="zh-CN"/>
        </w:rPr>
        <w:t>住房和城乡建设局单位</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bookmarkEnd w:id="15"/>
    </w:p>
    <w:p>
      <w:pPr>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br w:type="page"/>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32"/>
          <w:szCs w:val="32"/>
          <w:highlight w:val="none"/>
        </w:rPr>
      </w:pPr>
      <w:bookmarkStart w:id="16" w:name="_Toc29848"/>
      <w:bookmarkStart w:id="17" w:name="_Toc30883"/>
      <w:r>
        <w:rPr>
          <w:rFonts w:hint="eastAsia" w:ascii="方正小标宋简体" w:hAnsi="方正小标宋简体" w:eastAsia="方正小标宋简体" w:cs="方正小标宋简体"/>
          <w:color w:val="auto"/>
          <w:sz w:val="32"/>
          <w:szCs w:val="32"/>
          <w:highlight w:val="none"/>
        </w:rPr>
        <w:t>目 录</w:t>
      </w:r>
      <w:bookmarkEnd w:id="16"/>
      <w:bookmarkEnd w:id="17"/>
    </w:p>
    <w:p>
      <w:pPr>
        <w:adjustRightInd w:val="0"/>
        <w:snapToGrid w:val="0"/>
        <w:spacing w:line="360" w:lineRule="auto"/>
        <w:jc w:val="center"/>
        <w:outlineLvl w:val="0"/>
        <w:rPr>
          <w:rFonts w:hint="eastAsia" w:ascii="黑体" w:hAnsi="黑体" w:eastAsia="黑体"/>
          <w:b w:val="0"/>
          <w:color w:val="auto"/>
          <w:highlight w:val="none"/>
        </w:rPr>
      </w:pPr>
      <w:bookmarkStart w:id="18" w:name="_Toc6873"/>
      <w:bookmarkStart w:id="19" w:name="_Toc16788"/>
      <w:r>
        <w:rPr>
          <w:rFonts w:hint="eastAsia" w:ascii="方正小标宋简体" w:hAnsi="方正小标宋简体" w:eastAsia="方正小标宋简体" w:cs="方正小标宋简体"/>
          <w:color w:val="auto"/>
          <w:sz w:val="24"/>
          <w:szCs w:val="24"/>
          <w:highlight w:val="none"/>
        </w:rPr>
        <w:t>公开时间：2023年10月1</w:t>
      </w:r>
      <w:r>
        <w:rPr>
          <w:rFonts w:hint="eastAsia" w:ascii="方正小标宋简体" w:hAnsi="方正小标宋简体" w:eastAsia="方正小标宋简体" w:cs="方正小标宋简体"/>
          <w:color w:val="auto"/>
          <w:sz w:val="24"/>
          <w:szCs w:val="24"/>
          <w:highlight w:val="none"/>
          <w:lang w:val="en-US" w:eastAsia="zh-CN"/>
        </w:rPr>
        <w:t>6</w:t>
      </w:r>
      <w:bookmarkStart w:id="153" w:name="_GoBack"/>
      <w:bookmarkEnd w:id="153"/>
      <w:r>
        <w:rPr>
          <w:rFonts w:hint="eastAsia" w:ascii="方正小标宋简体" w:hAnsi="方正小标宋简体" w:eastAsia="方正小标宋简体" w:cs="方正小标宋简体"/>
          <w:color w:val="auto"/>
          <w:sz w:val="24"/>
          <w:szCs w:val="24"/>
          <w:highlight w:val="none"/>
        </w:rPr>
        <w:t>日</w:t>
      </w:r>
      <w:bookmarkEnd w:id="18"/>
      <w:bookmarkEnd w:id="19"/>
      <w:bookmarkStart w:id="20" w:name="_Toc15377196"/>
      <w:bookmarkStart w:id="21" w:name="_Toc15396599"/>
    </w:p>
    <w:sdt>
      <w:sdtPr>
        <w:rPr>
          <w:rFonts w:ascii="宋体" w:hAnsi="宋体" w:eastAsia="宋体" w:cs="Times New Roman"/>
          <w:kern w:val="2"/>
          <w:sz w:val="21"/>
          <w:szCs w:val="24"/>
          <w:lang w:val="en-US" w:eastAsia="zh-CN" w:bidi="ar-SA"/>
        </w:rPr>
        <w:id w:val="147465979"/>
        <w15:color w:val="DBDBDB"/>
        <w:docPartObj>
          <w:docPartGallery w:val="Table of Contents"/>
          <w:docPartUnique/>
        </w:docPartObj>
      </w:sdtPr>
      <w:sdtEndPr>
        <w:rPr>
          <w:rFonts w:hint="eastAsia" w:ascii="仿宋_GB2312" w:hAnsi="Times New Roman" w:eastAsia="仿宋_GB2312" w:cs="Times New Roman"/>
          <w:b/>
          <w:kern w:val="0"/>
          <w:sz w:val="30"/>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6"/>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b/>
            </w:rPr>
          </w:pPr>
          <w:r>
            <w:rPr>
              <w:rFonts w:hint="eastAsia"/>
            </w:rPr>
            <w:fldChar w:fldCharType="begin"/>
          </w:r>
          <w:r>
            <w:rPr>
              <w:rFonts w:hint="eastAsia"/>
            </w:rPr>
            <w:instrText xml:space="preserve">TOC \o "1-2" \h \u </w:instrText>
          </w:r>
          <w:r>
            <w:rPr>
              <w:rFonts w:hint="eastAsia"/>
            </w:rPr>
            <w:fldChar w:fldCharType="separate"/>
          </w:r>
          <w:r>
            <w:rPr>
              <w:rFonts w:hint="eastAsia"/>
              <w:b/>
            </w:rPr>
            <w:fldChar w:fldCharType="begin"/>
          </w:r>
          <w:r>
            <w:rPr>
              <w:rFonts w:hint="eastAsia"/>
              <w:b/>
            </w:rPr>
            <w:instrText xml:space="preserve"> HYPERLINK \l _Toc12401 </w:instrText>
          </w:r>
          <w:r>
            <w:rPr>
              <w:rFonts w:hint="eastAsia"/>
              <w:b/>
            </w:rPr>
            <w:fldChar w:fldCharType="separate"/>
          </w:r>
          <w:r>
            <w:rPr>
              <w:rFonts w:hint="eastAsia" w:ascii="黑体" w:hAnsi="黑体" w:eastAsia="黑体"/>
              <w:b/>
              <w:highlight w:val="none"/>
            </w:rPr>
            <w:t xml:space="preserve">第一部分 </w:t>
          </w:r>
          <w:r>
            <w:rPr>
              <w:rFonts w:hint="eastAsia" w:ascii="黑体" w:hAnsi="黑体" w:eastAsia="黑体"/>
              <w:b/>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_Toc12401 \h </w:instrText>
          </w:r>
          <w:r>
            <w:rPr>
              <w:b/>
            </w:rPr>
            <w:fldChar w:fldCharType="separate"/>
          </w:r>
          <w:r>
            <w:rPr>
              <w:b/>
            </w:rPr>
            <w:t>1</w:t>
          </w:r>
          <w:r>
            <w:rPr>
              <w:b/>
            </w:rPr>
            <w:fldChar w:fldCharType="end"/>
          </w:r>
          <w:r>
            <w:rPr>
              <w:rFonts w:hint="eastAsia"/>
              <w:b/>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_Toc9265 </w:instrText>
          </w:r>
          <w:r>
            <w:rPr>
              <w:rFonts w:hint="eastAsia"/>
            </w:rPr>
            <w:fldChar w:fldCharType="separate"/>
          </w:r>
          <w:r>
            <w:rPr>
              <w:rFonts w:hint="eastAsia" w:ascii="黑体" w:hAnsi="黑体" w:eastAsia="黑体" w:cs="黑体"/>
              <w:szCs w:val="32"/>
              <w:highlight w:val="none"/>
              <w:lang w:eastAsia="zh-CN"/>
            </w:rPr>
            <w:t>一、主要职责</w:t>
          </w:r>
          <w:r>
            <w:tab/>
          </w:r>
          <w:r>
            <w:fldChar w:fldCharType="begin"/>
          </w:r>
          <w:r>
            <w:instrText xml:space="preserve"> PAGEREF _Toc9265 \h </w:instrText>
          </w:r>
          <w:r>
            <w:fldChar w:fldCharType="separate"/>
          </w:r>
          <w:r>
            <w:t>1</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_Toc28621 </w:instrText>
          </w:r>
          <w:r>
            <w:rPr>
              <w:rFonts w:hint="eastAsia"/>
            </w:rPr>
            <w:fldChar w:fldCharType="separate"/>
          </w:r>
          <w:r>
            <w:rPr>
              <w:rFonts w:hint="eastAsia" w:ascii="黑体" w:hAnsi="黑体" w:eastAsia="黑体" w:cs="黑体"/>
              <w:szCs w:val="32"/>
              <w:lang w:eastAsia="zh-CN"/>
            </w:rPr>
            <w:t>二、机构设置</w:t>
          </w:r>
          <w:r>
            <w:tab/>
          </w:r>
          <w:r>
            <w:fldChar w:fldCharType="begin"/>
          </w:r>
          <w:r>
            <w:instrText xml:space="preserve"> PAGEREF _Toc28621 \h </w:instrText>
          </w:r>
          <w:r>
            <w:fldChar w:fldCharType="separate"/>
          </w:r>
          <w:r>
            <w:t>2</w:t>
          </w:r>
          <w:r>
            <w:fldChar w:fldCharType="end"/>
          </w:r>
          <w:r>
            <w:rPr>
              <w:rFonts w:hint="eastAsia"/>
            </w:rPr>
            <w:fldChar w:fldCharType="end"/>
          </w:r>
        </w:p>
        <w:p>
          <w:pPr>
            <w:pStyle w:val="36"/>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b/>
            </w:rPr>
          </w:pPr>
          <w:r>
            <w:rPr>
              <w:rFonts w:hint="eastAsia"/>
              <w:b/>
            </w:rPr>
            <w:fldChar w:fldCharType="begin"/>
          </w:r>
          <w:r>
            <w:rPr>
              <w:rFonts w:hint="eastAsia"/>
              <w:b/>
            </w:rPr>
            <w:instrText xml:space="preserve"> HYPERLINK \l _Toc2834 </w:instrText>
          </w:r>
          <w:r>
            <w:rPr>
              <w:rFonts w:hint="eastAsia"/>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2022年度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_Toc2834 \h </w:instrText>
          </w:r>
          <w:r>
            <w:rPr>
              <w:b/>
            </w:rPr>
            <w:fldChar w:fldCharType="separate"/>
          </w:r>
          <w:r>
            <w:rPr>
              <w:b/>
            </w:rPr>
            <w:t>3</w:t>
          </w:r>
          <w:r>
            <w:rPr>
              <w:b/>
            </w:rPr>
            <w:fldChar w:fldCharType="end"/>
          </w:r>
          <w:r>
            <w:rPr>
              <w:rFonts w:hint="eastAsia"/>
              <w:b/>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_Toc9958 </w:instrText>
          </w:r>
          <w:r>
            <w:rPr>
              <w:rFonts w:hint="eastAsia"/>
            </w:rPr>
            <w:fldChar w:fldCharType="separate"/>
          </w:r>
          <w:r>
            <w:rPr>
              <w:rFonts w:hint="eastAsia" w:ascii="黑体" w:hAnsi="黑体" w:eastAsia="黑体"/>
              <w:szCs w:val="32"/>
              <w:highlight w:val="none"/>
              <w:lang w:eastAsia="zh-CN"/>
            </w:rPr>
            <w:t>一、</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_Toc9958 \h </w:instrText>
          </w:r>
          <w:r>
            <w:fldChar w:fldCharType="separate"/>
          </w:r>
          <w:r>
            <w:t>3</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_Toc4783 </w:instrText>
          </w:r>
          <w:r>
            <w:rPr>
              <w:rFonts w:hint="eastAsia"/>
            </w:rPr>
            <w:fldChar w:fldCharType="separate"/>
          </w:r>
          <w:r>
            <w:rPr>
              <w:rFonts w:hint="eastAsia" w:ascii="黑体" w:hAnsi="黑体" w:eastAsia="黑体"/>
              <w:szCs w:val="32"/>
              <w:highlight w:val="none"/>
              <w:lang w:eastAsia="zh-CN"/>
            </w:rPr>
            <w:t>二、</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_Toc4783 \h </w:instrText>
          </w:r>
          <w:r>
            <w:fldChar w:fldCharType="separate"/>
          </w:r>
          <w:r>
            <w:t>3</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_Toc21203 </w:instrText>
          </w:r>
          <w:r>
            <w:rPr>
              <w:rFonts w:hint="eastAsia"/>
            </w:rPr>
            <w:fldChar w:fldCharType="separate"/>
          </w:r>
          <w:r>
            <w:rPr>
              <w:rFonts w:hint="eastAsia" w:ascii="黑体" w:hAnsi="黑体" w:eastAsia="黑体"/>
              <w:szCs w:val="32"/>
              <w:highlight w:val="none"/>
              <w:lang w:eastAsia="zh-CN"/>
            </w:rPr>
            <w:t>三、支出决算情况说明</w:t>
          </w:r>
          <w:r>
            <w:tab/>
          </w:r>
          <w:r>
            <w:fldChar w:fldCharType="begin"/>
          </w:r>
          <w:r>
            <w:instrText xml:space="preserve"> PAGEREF _Toc21203 \h </w:instrText>
          </w:r>
          <w:r>
            <w:fldChar w:fldCharType="separate"/>
          </w:r>
          <w:r>
            <w:t>4</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_Toc29359 </w:instrText>
          </w:r>
          <w:r>
            <w:rPr>
              <w:rFonts w:hint="eastAsia"/>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_Toc29359 \h </w:instrText>
          </w:r>
          <w:r>
            <w:fldChar w:fldCharType="separate"/>
          </w:r>
          <w:r>
            <w:t>4</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_Toc32002 </w:instrText>
          </w:r>
          <w:r>
            <w:rPr>
              <w:rFonts w:hint="eastAsia"/>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_Toc32002 \h </w:instrText>
          </w:r>
          <w:r>
            <w:fldChar w:fldCharType="separate"/>
          </w:r>
          <w:r>
            <w:t>5</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_Toc26998 </w:instrText>
          </w:r>
          <w:r>
            <w:rPr>
              <w:rFonts w:hint="eastAsia"/>
            </w:rPr>
            <w:fldChar w:fldCharType="separate"/>
          </w:r>
          <w:r>
            <w:rPr>
              <w:rFonts w:hint="eastAsia" w:ascii="黑体" w:hAnsi="黑体" w:eastAsia="黑体" w:cs="Times New Roman"/>
              <w:szCs w:val="32"/>
              <w:highlight w:val="none"/>
            </w:rPr>
            <w:t>六、一般公共预算财政拨款基本支出决算情况说明</w:t>
          </w:r>
          <w:r>
            <w:tab/>
          </w:r>
          <w:r>
            <w:fldChar w:fldCharType="begin"/>
          </w:r>
          <w:r>
            <w:instrText xml:space="preserve"> PAGEREF _Toc26998 \h </w:instrText>
          </w:r>
          <w:r>
            <w:fldChar w:fldCharType="separate"/>
          </w:r>
          <w:r>
            <w:t>9</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_Toc24413 </w:instrText>
          </w:r>
          <w:r>
            <w:rPr>
              <w:rFonts w:hint="eastAsia"/>
            </w:rPr>
            <w:fldChar w:fldCharType="separate"/>
          </w:r>
          <w:r>
            <w:rPr>
              <w:rFonts w:hint="eastAsia" w:ascii="黑体" w:hAnsi="黑体" w:eastAsia="黑体" w:cs="Times New Roman"/>
              <w:szCs w:val="32"/>
              <w:highlight w:val="none"/>
            </w:rPr>
            <w:t>七、财政拨款“三公”经费支出决算情况说明</w:t>
          </w:r>
          <w:r>
            <w:tab/>
          </w:r>
          <w:r>
            <w:fldChar w:fldCharType="begin"/>
          </w:r>
          <w:r>
            <w:instrText xml:space="preserve"> PAGEREF _Toc24413 \h </w:instrText>
          </w:r>
          <w:r>
            <w:fldChar w:fldCharType="separate"/>
          </w:r>
          <w:r>
            <w:t>9</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_Toc20274 </w:instrText>
          </w:r>
          <w:r>
            <w:rPr>
              <w:rFonts w:hint="eastAsia"/>
            </w:rPr>
            <w:fldChar w:fldCharType="separate"/>
          </w:r>
          <w:r>
            <w:rPr>
              <w:rFonts w:hint="eastAsia" w:ascii="黑体" w:hAnsi="黑体" w:eastAsia="黑体" w:cs="Times New Roman"/>
              <w:szCs w:val="32"/>
              <w:highlight w:val="none"/>
            </w:rPr>
            <w:t>八、政府性基金预算支出决算情况说明</w:t>
          </w:r>
          <w:r>
            <w:tab/>
          </w:r>
          <w:r>
            <w:fldChar w:fldCharType="begin"/>
          </w:r>
          <w:r>
            <w:instrText xml:space="preserve"> PAGEREF _Toc20274 \h </w:instrText>
          </w:r>
          <w:r>
            <w:fldChar w:fldCharType="separate"/>
          </w:r>
          <w:r>
            <w:t>11</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_Toc28482 </w:instrText>
          </w:r>
          <w:r>
            <w:rPr>
              <w:rFonts w:hint="eastAsia"/>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_Toc28482 \h </w:instrText>
          </w:r>
          <w:r>
            <w:fldChar w:fldCharType="separate"/>
          </w:r>
          <w:r>
            <w:t>11</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_Toc21465 </w:instrText>
          </w:r>
          <w:r>
            <w:rPr>
              <w:rFonts w:hint="eastAsia"/>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_Toc21465 \h </w:instrText>
          </w:r>
          <w:r>
            <w:fldChar w:fldCharType="separate"/>
          </w:r>
          <w:r>
            <w:t>11</w:t>
          </w:r>
          <w:r>
            <w:fldChar w:fldCharType="end"/>
          </w:r>
          <w:r>
            <w:rPr>
              <w:rFonts w:hint="eastAsia"/>
            </w:rPr>
            <w:fldChar w:fldCharType="end"/>
          </w:r>
        </w:p>
        <w:p>
          <w:pPr>
            <w:pStyle w:val="36"/>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b/>
            </w:rPr>
          </w:pPr>
          <w:r>
            <w:rPr>
              <w:rFonts w:hint="eastAsia"/>
              <w:b/>
            </w:rPr>
            <w:fldChar w:fldCharType="begin"/>
          </w:r>
          <w:r>
            <w:rPr>
              <w:rFonts w:hint="eastAsia"/>
              <w:b/>
            </w:rPr>
            <w:instrText xml:space="preserve"> HYPERLINK \l _Toc23921 </w:instrText>
          </w:r>
          <w:r>
            <w:rPr>
              <w:rFonts w:hint="eastAsia"/>
              <w:b/>
            </w:rPr>
            <w:fldChar w:fldCharType="separate"/>
          </w:r>
          <w:r>
            <w:rPr>
              <w:rFonts w:hint="eastAsia" w:ascii="黑体" w:hAnsi="黑体" w:eastAsia="黑体" w:cs="黑体"/>
              <w:b/>
              <w:szCs w:val="44"/>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_Toc23921 \h </w:instrText>
          </w:r>
          <w:r>
            <w:rPr>
              <w:b/>
            </w:rPr>
            <w:fldChar w:fldCharType="separate"/>
          </w:r>
          <w:r>
            <w:rPr>
              <w:b/>
            </w:rPr>
            <w:t>13</w:t>
          </w:r>
          <w:r>
            <w:rPr>
              <w:b/>
            </w:rPr>
            <w:fldChar w:fldCharType="end"/>
          </w:r>
          <w:r>
            <w:rPr>
              <w:rFonts w:hint="eastAsia"/>
              <w:b/>
            </w:rPr>
            <w:fldChar w:fldCharType="end"/>
          </w:r>
        </w:p>
        <w:p>
          <w:pPr>
            <w:pStyle w:val="36"/>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b/>
            </w:rPr>
          </w:pPr>
          <w:r>
            <w:rPr>
              <w:rFonts w:hint="eastAsia"/>
              <w:b/>
            </w:rPr>
            <w:fldChar w:fldCharType="begin"/>
          </w:r>
          <w:r>
            <w:rPr>
              <w:rFonts w:hint="eastAsia"/>
              <w:b/>
            </w:rPr>
            <w:instrText xml:space="preserve"> HYPERLINK \l _Toc18814 </w:instrText>
          </w:r>
          <w:r>
            <w:rPr>
              <w:rFonts w:hint="eastAsia"/>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_Toc18814 \h </w:instrText>
          </w:r>
          <w:r>
            <w:rPr>
              <w:b/>
            </w:rPr>
            <w:fldChar w:fldCharType="separate"/>
          </w:r>
          <w:r>
            <w:rPr>
              <w:b/>
            </w:rPr>
            <w:t>18</w:t>
          </w:r>
          <w:r>
            <w:rPr>
              <w:b/>
            </w:rPr>
            <w:fldChar w:fldCharType="end"/>
          </w:r>
          <w:r>
            <w:rPr>
              <w:rFonts w:hint="eastAsia"/>
              <w:b/>
            </w:rPr>
            <w:fldChar w:fldCharType="end"/>
          </w:r>
        </w:p>
        <w:p>
          <w:pPr>
            <w:pStyle w:val="36"/>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b/>
            </w:rPr>
          </w:pPr>
          <w:r>
            <w:rPr>
              <w:rFonts w:hint="eastAsia"/>
              <w:b/>
            </w:rPr>
            <w:fldChar w:fldCharType="begin"/>
          </w:r>
          <w:r>
            <w:rPr>
              <w:rFonts w:hint="eastAsia"/>
              <w:b/>
            </w:rPr>
            <w:instrText xml:space="preserve"> HYPERLINK \l _Toc7692 </w:instrText>
          </w:r>
          <w:r>
            <w:rPr>
              <w:rFonts w:hint="eastAsia"/>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_Toc7692 \h </w:instrText>
          </w:r>
          <w:r>
            <w:rPr>
              <w:b/>
            </w:rPr>
            <w:fldChar w:fldCharType="separate"/>
          </w:r>
          <w:r>
            <w:rPr>
              <w:b/>
            </w:rPr>
            <w:t>137</w:t>
          </w:r>
          <w:r>
            <w:rPr>
              <w:b/>
            </w:rPr>
            <w:fldChar w:fldCharType="end"/>
          </w:r>
          <w:r>
            <w:rPr>
              <w:rFonts w:hint="eastAsia"/>
              <w:b/>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_Toc31918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一、收入支出决算总表</w:t>
          </w:r>
          <w:r>
            <w:tab/>
          </w:r>
          <w:r>
            <w:fldChar w:fldCharType="begin"/>
          </w:r>
          <w:r>
            <w:instrText xml:space="preserve"> PAGEREF _Toc31918 \h </w:instrText>
          </w:r>
          <w:r>
            <w:fldChar w:fldCharType="separate"/>
          </w:r>
          <w:r>
            <w:t>137</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_Toc6294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二、收入决算表</w:t>
          </w:r>
          <w:r>
            <w:tab/>
          </w:r>
          <w:r>
            <w:fldChar w:fldCharType="begin"/>
          </w:r>
          <w:r>
            <w:instrText xml:space="preserve"> PAGEREF _Toc6294 \h </w:instrText>
          </w:r>
          <w:r>
            <w:fldChar w:fldCharType="separate"/>
          </w:r>
          <w:r>
            <w:t>137</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_Toc30564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三、支出决算表</w:t>
          </w:r>
          <w:r>
            <w:tab/>
          </w:r>
          <w:r>
            <w:fldChar w:fldCharType="begin"/>
          </w:r>
          <w:r>
            <w:instrText xml:space="preserve"> PAGEREF _Toc30564 \h </w:instrText>
          </w:r>
          <w:r>
            <w:fldChar w:fldCharType="separate"/>
          </w:r>
          <w:r>
            <w:t>137</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_Toc30103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四、财政拨款收入支出决算总表</w:t>
          </w:r>
          <w:r>
            <w:tab/>
          </w:r>
          <w:r>
            <w:fldChar w:fldCharType="begin"/>
          </w:r>
          <w:r>
            <w:instrText xml:space="preserve"> PAGEREF _Toc30103 \h </w:instrText>
          </w:r>
          <w:r>
            <w:fldChar w:fldCharType="separate"/>
          </w:r>
          <w:r>
            <w:t>137</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_Toc21658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五、财政拨款支出决算明细表</w:t>
          </w:r>
          <w:r>
            <w:tab/>
          </w:r>
          <w:r>
            <w:fldChar w:fldCharType="begin"/>
          </w:r>
          <w:r>
            <w:instrText xml:space="preserve"> PAGEREF _Toc21658 \h </w:instrText>
          </w:r>
          <w:r>
            <w:fldChar w:fldCharType="separate"/>
          </w:r>
          <w:r>
            <w:t>137</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_Toc28267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六、一般公共预算财政拨款支出决算表</w:t>
          </w:r>
          <w:r>
            <w:tab/>
          </w:r>
          <w:r>
            <w:fldChar w:fldCharType="begin"/>
          </w:r>
          <w:r>
            <w:instrText xml:space="preserve"> PAGEREF _Toc28267 \h </w:instrText>
          </w:r>
          <w:r>
            <w:fldChar w:fldCharType="separate"/>
          </w:r>
          <w:r>
            <w:t>137</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_Toc29022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七、一般公共预算财政拨款支出决算明细表</w:t>
          </w:r>
          <w:r>
            <w:tab/>
          </w:r>
          <w:r>
            <w:fldChar w:fldCharType="begin"/>
          </w:r>
          <w:r>
            <w:instrText xml:space="preserve"> PAGEREF _Toc29022 \h </w:instrText>
          </w:r>
          <w:r>
            <w:fldChar w:fldCharType="separate"/>
          </w:r>
          <w:r>
            <w:t>137</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_Toc22656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八、一般公共预算财政拨款基本支出决算表</w:t>
          </w:r>
          <w:r>
            <w:tab/>
          </w:r>
          <w:r>
            <w:fldChar w:fldCharType="begin"/>
          </w:r>
          <w:r>
            <w:instrText xml:space="preserve"> PAGEREF _Toc22656 \h </w:instrText>
          </w:r>
          <w:r>
            <w:fldChar w:fldCharType="separate"/>
          </w:r>
          <w:r>
            <w:t>137</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_Toc28567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九、一般公共预算财政拨款项目支出决算表</w:t>
          </w:r>
          <w:r>
            <w:tab/>
          </w:r>
          <w:r>
            <w:fldChar w:fldCharType="begin"/>
          </w:r>
          <w:r>
            <w:instrText xml:space="preserve"> PAGEREF _Toc28567 \h </w:instrText>
          </w:r>
          <w:r>
            <w:fldChar w:fldCharType="separate"/>
          </w:r>
          <w:r>
            <w:t>137</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_Toc12176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十、政府性基金预算财政拨款收入支出决算表</w:t>
          </w:r>
          <w:r>
            <w:tab/>
          </w:r>
          <w:r>
            <w:fldChar w:fldCharType="begin"/>
          </w:r>
          <w:r>
            <w:instrText xml:space="preserve"> PAGEREF _Toc12176 \h </w:instrText>
          </w:r>
          <w:r>
            <w:fldChar w:fldCharType="separate"/>
          </w:r>
          <w:r>
            <w:t>137</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_Toc24535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十一、国有资本经营预算财政拨款收入支出决算表</w:t>
          </w:r>
          <w:r>
            <w:tab/>
          </w:r>
          <w:r>
            <w:fldChar w:fldCharType="begin"/>
          </w:r>
          <w:r>
            <w:instrText xml:space="preserve"> PAGEREF _Toc24535 \h </w:instrText>
          </w:r>
          <w:r>
            <w:fldChar w:fldCharType="separate"/>
          </w:r>
          <w:r>
            <w:t>137</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_Toc16026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十二、国有资本经营预算财政拨款支出决算表</w:t>
          </w:r>
          <w:r>
            <w:tab/>
          </w:r>
          <w:r>
            <w:fldChar w:fldCharType="begin"/>
          </w:r>
          <w:r>
            <w:instrText xml:space="preserve"> PAGEREF _Toc16026 \h </w:instrText>
          </w:r>
          <w:r>
            <w:fldChar w:fldCharType="separate"/>
          </w:r>
          <w:r>
            <w:t>137</w:t>
          </w:r>
          <w:r>
            <w:fldChar w:fldCharType="end"/>
          </w:r>
          <w:r>
            <w:rPr>
              <w:rFonts w:hint="eastAsia"/>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pPr>
          <w:r>
            <w:rPr>
              <w:rFonts w:hint="eastAsia"/>
            </w:rPr>
            <w:fldChar w:fldCharType="begin"/>
          </w:r>
          <w:r>
            <w:rPr>
              <w:rFonts w:hint="eastAsia"/>
            </w:rPr>
            <w:instrText xml:space="preserve"> HYPERLINK \l _Toc21239 </w:instrText>
          </w:r>
          <w:r>
            <w:rPr>
              <w:rFonts w:hint="eastAsia"/>
            </w:rPr>
            <w:fldChar w:fldCharType="separate"/>
          </w:r>
          <w:r>
            <w:rPr>
              <w:rFonts w:hint="eastAsia" w:ascii="仿宋_GB2312" w:hAnsi="Calibri" w:eastAsia="仿宋_GB2312" w:cs="仿宋"/>
              <w:bCs w:val="0"/>
              <w:kern w:val="0"/>
              <w:szCs w:val="32"/>
              <w:highlight w:val="none"/>
              <w:lang w:val="en-US" w:eastAsia="zh-CN" w:bidi="ar-SA"/>
            </w:rPr>
            <w:t>十三、财政拨款“三公”经费支出决算表</w:t>
          </w:r>
          <w:r>
            <w:tab/>
          </w:r>
          <w:r>
            <w:fldChar w:fldCharType="begin"/>
          </w:r>
          <w:r>
            <w:instrText xml:space="preserve"> PAGEREF _Toc21239 \h </w:instrText>
          </w:r>
          <w:r>
            <w:fldChar w:fldCharType="separate"/>
          </w:r>
          <w:r>
            <w:t>137</w:t>
          </w:r>
          <w:r>
            <w:fldChar w:fldCharType="end"/>
          </w:r>
          <w:r>
            <w:rPr>
              <w:rFonts w:hint="eastAsia"/>
            </w:rPr>
            <w:fldChar w:fldCharType="end"/>
          </w:r>
        </w:p>
        <w:p>
          <w:pPr>
            <w:pStyle w:val="2"/>
            <w:keepNext w:val="0"/>
            <w:keepLines w:val="0"/>
            <w:pageBreakBefore w:val="0"/>
            <w:kinsoku/>
            <w:wordWrap/>
            <w:overflowPunct/>
            <w:topLinePunct w:val="0"/>
            <w:autoSpaceDE/>
            <w:autoSpaceDN/>
            <w:bidi w:val="0"/>
            <w:adjustRightInd/>
            <w:snapToGrid/>
            <w:spacing w:line="380" w:lineRule="exact"/>
            <w:textAlignment w:val="auto"/>
            <w:rPr>
              <w:rFonts w:hint="eastAsia"/>
            </w:rPr>
            <w:sectPr>
              <w:headerReference r:id="rId3" w:type="default"/>
              <w:pgSz w:w="11906" w:h="16838"/>
              <w:pgMar w:top="1440" w:right="1800" w:bottom="1440" w:left="1800" w:header="851" w:footer="992" w:gutter="0"/>
              <w:pgNumType w:start="1"/>
              <w:cols w:space="425" w:num="1"/>
              <w:titlePg/>
              <w:docGrid w:type="lines" w:linePitch="312" w:charSpace="0"/>
            </w:sectPr>
          </w:pPr>
          <w:r>
            <w:rPr>
              <w:rFonts w:hint="eastAsia"/>
              <w:b/>
            </w:rPr>
            <w:fldChar w:fldCharType="end"/>
          </w:r>
        </w:p>
      </w:sdtContent>
    </w:sdt>
    <w:p>
      <w:pPr>
        <w:pStyle w:val="3"/>
        <w:pageBreakBefore w:val="0"/>
        <w:kinsoku/>
        <w:wordWrap/>
        <w:overflowPunct/>
        <w:topLinePunct w:val="0"/>
        <w:autoSpaceDE/>
        <w:autoSpaceDN/>
        <w:bidi w:val="0"/>
        <w:adjustRightInd/>
        <w:spacing w:before="0" w:after="0" w:line="576" w:lineRule="exact"/>
        <w:jc w:val="center"/>
        <w:textAlignment w:val="auto"/>
        <w:rPr>
          <w:rFonts w:ascii="黑体" w:eastAsia="黑体"/>
          <w:color w:val="auto"/>
          <w:sz w:val="32"/>
          <w:szCs w:val="32"/>
          <w:highlight w:val="none"/>
        </w:rPr>
      </w:pPr>
      <w:bookmarkStart w:id="22" w:name="_Toc6200"/>
      <w:bookmarkStart w:id="23" w:name="_Toc12401"/>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9"/>
          <w:rFonts w:hint="eastAsia" w:ascii="黑体" w:hAnsi="黑体" w:eastAsia="黑体"/>
          <w:b w:val="0"/>
          <w:bCs w:val="0"/>
          <w:color w:val="auto"/>
          <w:highlight w:val="none"/>
        </w:rPr>
        <w:t>概况</w:t>
      </w:r>
      <w:bookmarkEnd w:id="20"/>
      <w:bookmarkEnd w:id="21"/>
      <w:bookmarkEnd w:id="22"/>
      <w:bookmarkEnd w:id="23"/>
    </w:p>
    <w:p>
      <w:pPr>
        <w:pStyle w:val="9"/>
        <w:pageBreakBefore w:val="0"/>
        <w:kinsoku/>
        <w:wordWrap/>
        <w:overflowPunct/>
        <w:topLinePunct w:val="0"/>
        <w:autoSpaceDE/>
        <w:autoSpaceDN/>
        <w:bidi w:val="0"/>
        <w:adjustRightInd/>
        <w:spacing w:line="576" w:lineRule="exact"/>
        <w:textAlignment w:val="auto"/>
      </w:pPr>
    </w:p>
    <w:p>
      <w:pPr>
        <w:pageBreakBefore w:val="0"/>
        <w:widowControl/>
        <w:numPr>
          <w:ilvl w:val="0"/>
          <w:numId w:val="0"/>
        </w:numPr>
        <w:kinsoku/>
        <w:wordWrap/>
        <w:overflowPunct/>
        <w:topLinePunct w:val="0"/>
        <w:autoSpaceDE/>
        <w:autoSpaceDN/>
        <w:bidi w:val="0"/>
        <w:adjustRightInd/>
        <w:spacing w:line="576" w:lineRule="exact"/>
        <w:ind w:firstLine="640" w:firstLineChars="200"/>
        <w:jc w:val="left"/>
        <w:textAlignment w:val="auto"/>
        <w:outlineLvl w:val="1"/>
        <w:rPr>
          <w:rFonts w:hint="eastAsia" w:ascii="黑体" w:hAnsi="黑体" w:eastAsia="黑体" w:cs="黑体"/>
          <w:color w:val="auto"/>
          <w:sz w:val="32"/>
          <w:szCs w:val="32"/>
          <w:highlight w:val="none"/>
          <w:lang w:eastAsia="zh-CN"/>
        </w:rPr>
      </w:pPr>
      <w:bookmarkStart w:id="24" w:name="_Toc9265"/>
      <w:bookmarkStart w:id="25" w:name="_Toc21937"/>
      <w:r>
        <w:rPr>
          <w:rFonts w:hint="eastAsia" w:ascii="黑体" w:hAnsi="黑体" w:eastAsia="黑体" w:cs="黑体"/>
          <w:color w:val="auto"/>
          <w:sz w:val="32"/>
          <w:szCs w:val="32"/>
          <w:highlight w:val="none"/>
          <w:lang w:eastAsia="zh-CN"/>
        </w:rPr>
        <w:t>一、主要职责</w:t>
      </w:r>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1.贯彻执行国家住房和城乡建设的法律、法规和方针、政策。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2.负责城市道路、桥梁、燃气、城市防洪设施、城市供排水设施、城市照明设施的建设和运行维护管理工作。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3.负责全市建筑行业管理。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4.指导和管理全市镇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和村的建设工作。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5.研究拟订全市住房制度改革、保障性住房、棚户区改造相关政策。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6.负责勘察设计市场和行业管理。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7.负责组织实施房屋建筑、园林绿化和市政工程建设实施阶段的国家和省标准、全国统一定额和行业标准定额。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研究编制行业项目年度建设计划并监督实施，参与行业各类规划编制工作；拟订行业发展战略、投融资政策；承担市政基础设施重点建设项目的前期工作和后期评价工作；指导行业招商引资和对外经济技术合作及各类资金争取工作；统筹行业统计及预测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9.负责研究拟订全市房屋建筑、园林绿化和市政工程施工质量、安全生产、扬尘防治、建设工程监理、工程质量检测和鉴定行业的政策法规和规章制度并指导实施和监督执行。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10.负责全市城乡园林绿化工作。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11.组织指导公园城市建设和园林城市系列创建工作。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12.负责拟订有关行政审批规程细则。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13.承担市政府公布的有关行政审批事项。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14.承办市政府交办的其他事项。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eastAsia="zh-CN"/>
        </w:rPr>
      </w:pPr>
      <w:bookmarkStart w:id="26" w:name="_Toc10888"/>
      <w:bookmarkStart w:id="27" w:name="_Toc28621"/>
      <w:r>
        <w:rPr>
          <w:rFonts w:hint="eastAsia" w:ascii="黑体" w:hAnsi="黑体" w:eastAsia="黑体" w:cs="黑体"/>
          <w:sz w:val="32"/>
          <w:szCs w:val="32"/>
          <w:lang w:eastAsia="zh-CN"/>
        </w:rPr>
        <w:t>二、机构设置</w:t>
      </w:r>
      <w:bookmarkEnd w:id="26"/>
      <w:bookmarkEnd w:id="2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住房城乡建设局机关内设17个科室，分别是办公室、政策法规科、城市建设科、建筑管理科、村镇建设科、住房保障和房地产管理科、勘察设计与科学技术科、招投标与定额管理科、项目管理科、工程质量安全监管科、城市更新科、景观园林科、行政审批科、财务科、人事科、监察审计科、机关党委办公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纳入市住房城乡建设局本级202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年度部门决算编制范围的非独立预算单位</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个，包括：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1.广元市散装水泥事务中心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2.广元市供排水事务中心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3.广元市建设行业安全生产事务中心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4.广元市建设工程造价与招投标事务中心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5.广元市住房和城乡建设宣传信息中心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6.广元市城乡建设档案馆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7.广元市工程建设消防和勘察设计技术中心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pStyle w:val="3"/>
        <w:ind w:right="440"/>
        <w:jc w:val="center"/>
        <w:rPr>
          <w:color w:val="auto"/>
          <w:highlight w:val="none"/>
        </w:rPr>
      </w:pPr>
      <w:bookmarkStart w:id="28" w:name="_Toc2834"/>
      <w:bookmarkStart w:id="29" w:name="_Toc15377204"/>
      <w:bookmarkStart w:id="30" w:name="_Toc20469"/>
      <w:bookmarkStart w:id="3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19"/>
          <w:rFonts w:hint="eastAsia" w:ascii="黑体" w:hAnsi="黑体" w:eastAsia="黑体"/>
          <w:b w:val="0"/>
          <w:bCs/>
          <w:color w:val="auto"/>
          <w:highlight w:val="none"/>
          <w:lang w:eastAsia="zh-CN"/>
        </w:rPr>
        <w:t>单位</w:t>
      </w:r>
      <w:r>
        <w:rPr>
          <w:rStyle w:val="19"/>
          <w:rFonts w:hint="eastAsia" w:ascii="黑体" w:hAnsi="黑体" w:eastAsia="黑体"/>
          <w:b w:val="0"/>
          <w:bCs/>
          <w:color w:val="auto"/>
          <w:highlight w:val="none"/>
        </w:rPr>
        <w:t>决算情况说明</w:t>
      </w:r>
      <w:bookmarkEnd w:id="28"/>
      <w:bookmarkEnd w:id="29"/>
      <w:bookmarkEnd w:id="30"/>
      <w:bookmarkEnd w:id="31"/>
    </w:p>
    <w:p>
      <w:pPr>
        <w:pStyle w:val="29"/>
        <w:numPr>
          <w:ilvl w:val="0"/>
          <w:numId w:val="0"/>
        </w:numPr>
        <w:spacing w:line="600" w:lineRule="exact"/>
        <w:ind w:left="640" w:leftChars="0"/>
        <w:outlineLvl w:val="1"/>
        <w:rPr>
          <w:rStyle w:val="20"/>
          <w:rFonts w:ascii="黑体" w:hAnsi="黑体" w:eastAsia="黑体"/>
          <w:b w:val="0"/>
          <w:color w:val="auto"/>
          <w:highlight w:val="none"/>
        </w:rPr>
      </w:pPr>
      <w:bookmarkStart w:id="32" w:name="_Toc20677"/>
      <w:bookmarkStart w:id="33" w:name="_Toc9958"/>
      <w:bookmarkStart w:id="34" w:name="_Toc15377205"/>
      <w:bookmarkStart w:id="35" w:name="_Toc15396603"/>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32"/>
      <w:bookmarkEnd w:id="33"/>
      <w:bookmarkEnd w:id="34"/>
      <w:bookmarkEnd w:id="35"/>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61490.14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2588.75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sz w:val="32"/>
          <w:szCs w:val="24"/>
        </w:rPr>
        <w:t>202</w:t>
      </w:r>
      <w:r>
        <w:rPr>
          <w:rFonts w:hint="eastAsia" w:ascii="仿宋_GB2312" w:hAnsi="仿宋_GB2312" w:eastAsia="仿宋_GB2312"/>
          <w:sz w:val="32"/>
          <w:szCs w:val="24"/>
          <w:lang w:val="en-US" w:eastAsia="zh-CN"/>
        </w:rPr>
        <w:t>2</w:t>
      </w:r>
      <w:r>
        <w:rPr>
          <w:rFonts w:hint="eastAsia" w:ascii="仿宋_GB2312" w:hAnsi="仿宋_GB2312" w:eastAsia="仿宋_GB2312"/>
          <w:spacing w:val="-6"/>
          <w:sz w:val="32"/>
          <w:szCs w:val="24"/>
        </w:rPr>
        <w:t xml:space="preserve"> 年项</w:t>
      </w:r>
      <w:r>
        <w:rPr>
          <w:rFonts w:hint="eastAsia" w:ascii="仿宋_GB2312" w:hAnsi="仿宋_GB2312" w:eastAsia="仿宋_GB2312"/>
          <w:sz w:val="32"/>
          <w:szCs w:val="24"/>
        </w:rPr>
        <w:t>目资金增加</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3861435</wp:posOffset>
                </wp:positionH>
                <wp:positionV relativeFrom="paragraph">
                  <wp:posOffset>198755</wp:posOffset>
                </wp:positionV>
                <wp:extent cx="664845" cy="254000"/>
                <wp:effectExtent l="0" t="0" r="1905" b="12700"/>
                <wp:wrapNone/>
                <wp:docPr id="10" name="文本框 10"/>
                <wp:cNvGraphicFramePr/>
                <a:graphic xmlns:a="http://schemas.openxmlformats.org/drawingml/2006/main">
                  <a:graphicData uri="http://schemas.microsoft.com/office/word/2010/wordprocessingShape">
                    <wps:wsp>
                      <wps:cNvSpPr txBox="true"/>
                      <wps:spPr>
                        <a:xfrm>
                          <a:off x="3139440" y="4243705"/>
                          <a:ext cx="664845"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04.05pt;margin-top:15.65pt;height:20pt;width:52.35pt;z-index:251666432;mso-width-relative:page;mso-height-relative:page;" fillcolor="#FFFFFF [3201]" filled="t" stroked="f" coordsize="21600,21600" o:gfxdata="UEsFBgAAAAAAAAAAAAAAAAAAAAAAAFBLAwQKAAAAAACHTuJAAAAAAAAAAAAAAAAABAAAAGRycy9Q&#10;SwMEFAAAAAgAh07iQOhTkJbUAAAACQEAAA8AAABkcnMvZG93bnJldi54bWxNj01PwzAMhu9I/IfI&#10;SNxYkhWNqTTdAYkrEtvYOWtMU9E4VZJ9/nq8E9xs+dHr521W5zCKI6Y8RDKgZwoEUhfdQL2B7eb9&#10;aQkiF0vOjpHQwAUzrNr7u8bWLp7oE4/r0gsOoVxbA76UqZYydx6DzbM4IfHtO6ZgC6+ply7ZE4eH&#10;Uc6VWshgB+IP3k745rH7WR+CgV0frrsvPSXvwvhMH9fLZhsHYx4ftHoFUfBc/mC46bM6tOy0jwdy&#10;WYwGFmqpGTVQ6QoEAy96zl32t6EC2Tbyf4P2F1BLAwQUAAAACACHTuJACmOi6EgCAABgBAAADgAA&#10;AGRycy9lMm9Eb2MueG1srVRLbtswEN0X6B0I7hvJtpwmRuTATeCiQNAESIuuaYqyBVAclqQtpQdo&#10;b9BVN933XDlHH2k5ST+rolpQM5yn+byZ0dl532q2U843ZEo+Oso5U0ZS1Zh1yd+/W7444cwHYSqh&#10;yaiS3ynPz+fPn511dqbGtCFdKcfgxPhZZ0u+CcHOsszLjWqFPyKrDIw1uVYEqG6dVU508N7qbJzn&#10;x1lHrrKOpPIet5d7I58n/3WtZLiua68C0yVHbiGdLp2reGbzMzFbO2E3jRzSEP+QRSsag6APri5F&#10;EGzrmj9ctY105KkOR5LajOq6kSrVgGpG+W/V3G6EVakWkOPtA03+/7mVb3c3jjUVegd6jGjRo/uv&#10;X+6//bj//pnhDgR11s+Au7VAhv4V9SUPbqsOJo/7WHpfuza+URQDZDKanBYFnN6VvBgXk5f5dM+2&#10;6gOTABwfFyfFlDMJwHha5HkKlj06ss6H14paFoWSOzQzcSx2Vz4gL0APkBjXk26qZaN1Utx6daEd&#10;2wk0fpmeGB2f/ALThnXIZDLNk2dD8fs9ThvAY+n7+qIU+lU/8LGi6g50ONpPlLdy2SDLK+HDjXAY&#10;IRSOtQjXOGpNCEKDxNmG3Ke/3Uc8OgsrZx1GsuT+41Y4xZl+Y9Dz01HiMySlmL4cI4Z7alk9tZht&#10;e0EofoQFtDKJER/0QawdtR+wPYsYtRbaI5AwEvHR34N4EaANRmyhVIvFg44JtiJcmVsrh4mIzBta&#10;bAPVTepQZG1P1UAmxjh1YVi5uCdP9YR6/DHM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DoU5CW&#10;1AAAAAkBAAAPAAAAAAAAAAEAIAAAADgAAABkcnMvZG93bnJldi54bWxQSwECFAAUAAAACACHTuJA&#10;CmOi6EgCAABgBAAADgAAAAAAAAABACAAAAA5AQAAZHJzL2Uyb0RvYy54bWxQSwUGAAAAAAYABgBZ&#10;AQAA8wUAAAAA&#10;">
                <v:fill on="t"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单位：万元</w:t>
                      </w:r>
                    </w:p>
                  </w:txbxContent>
                </v:textbox>
              </v:shape>
            </w:pict>
          </mc:Fallback>
        </mc:AlternateContent>
      </w: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486410</wp:posOffset>
            </wp:positionH>
            <wp:positionV relativeFrom="paragraph">
              <wp:posOffset>41275</wp:posOffset>
            </wp:positionV>
            <wp:extent cx="4230370" cy="3143250"/>
            <wp:effectExtent l="4445" t="5080" r="13335" b="1397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9"/>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color w:val="auto"/>
          <w:sz w:val="32"/>
          <w:szCs w:val="32"/>
          <w:highlight w:val="none"/>
          <w:lang w:eastAsia="zh-CN"/>
        </w:rPr>
      </w:pPr>
    </w:p>
    <w:p>
      <w:pPr>
        <w:pStyle w:val="9"/>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color w:val="auto"/>
          <w:sz w:val="32"/>
          <w:szCs w:val="32"/>
          <w:highlight w:val="none"/>
        </w:rPr>
      </w:pPr>
    </w:p>
    <w:p>
      <w:pPr>
        <w:pStyle w:val="9"/>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color w:val="auto"/>
          <w:sz w:val="32"/>
          <w:szCs w:val="32"/>
          <w:highlight w:val="none"/>
        </w:rPr>
      </w:pPr>
    </w:p>
    <w:p>
      <w:pPr>
        <w:pStyle w:val="9"/>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highlight w:val="none"/>
        </w:rPr>
      </w:pPr>
    </w:p>
    <w:p>
      <w:pPr>
        <w:pStyle w:val="9"/>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color w:val="auto"/>
          <w:sz w:val="32"/>
          <w:szCs w:val="32"/>
          <w:highlight w:val="none"/>
        </w:rPr>
      </w:pPr>
    </w:p>
    <w:p>
      <w:pPr>
        <w:pStyle w:val="9"/>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76" w:lineRule="exact"/>
        <w:ind w:firstLine="1280" w:firstLineChars="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w:t>
      </w:r>
    </w:p>
    <w:p>
      <w:pPr>
        <w:pStyle w:val="29"/>
        <w:keepNext w:val="0"/>
        <w:keepLines w:val="0"/>
        <w:pageBreakBefore w:val="0"/>
        <w:widowControl w:val="0"/>
        <w:numPr>
          <w:ilvl w:val="0"/>
          <w:numId w:val="0"/>
        </w:numPr>
        <w:kinsoku/>
        <w:wordWrap/>
        <w:overflowPunct/>
        <w:topLinePunct w:val="0"/>
        <w:autoSpaceDE/>
        <w:autoSpaceDN/>
        <w:bidi w:val="0"/>
        <w:adjustRightInd/>
        <w:spacing w:line="576" w:lineRule="exact"/>
        <w:ind w:left="640" w:leftChars="0"/>
        <w:textAlignment w:val="auto"/>
        <w:outlineLvl w:val="1"/>
        <w:rPr>
          <w:rStyle w:val="20"/>
          <w:rFonts w:ascii="黑体" w:hAnsi="黑体" w:eastAsia="黑体"/>
          <w:b w:val="0"/>
          <w:color w:val="auto"/>
          <w:highlight w:val="none"/>
        </w:rPr>
      </w:pPr>
      <w:bookmarkStart w:id="36" w:name="_Toc9275"/>
      <w:bookmarkStart w:id="37" w:name="_Toc15377206"/>
      <w:bookmarkStart w:id="38" w:name="_Toc15396604"/>
      <w:bookmarkStart w:id="39" w:name="_Toc4783"/>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36"/>
      <w:bookmarkEnd w:id="37"/>
      <w:bookmarkEnd w:id="38"/>
      <w:bookmarkEnd w:id="39"/>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40" w:name="_Toc14586"/>
      <w:bookmarkStart w:id="41" w:name="_Toc27798"/>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53418.20</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35175.11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65.85</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18232.94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34.13</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10.15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0.02</w:t>
      </w:r>
      <w:r>
        <w:rPr>
          <w:rFonts w:hint="eastAsia" w:ascii="仿宋_GB2312" w:hAnsi="仿宋_GB2312" w:eastAsia="仿宋_GB2312" w:cs="仿宋_GB2312"/>
          <w:color w:val="auto"/>
          <w:sz w:val="32"/>
          <w:szCs w:val="32"/>
          <w:highlight w:val="none"/>
        </w:rPr>
        <w:t>%。</w:t>
      </w:r>
      <w:bookmarkEnd w:id="40"/>
      <w:bookmarkEnd w:id="41"/>
    </w:p>
    <w:p>
      <w:pPr>
        <w:spacing w:line="600" w:lineRule="exact"/>
        <w:ind w:firstLine="642" w:firstLineChars="200"/>
        <w:outlineLvl w:val="9"/>
        <w:rPr>
          <w:rFonts w:ascii="仿宋" w:hAnsi="仿宋" w:eastAsia="仿宋"/>
          <w:b/>
          <w:color w:val="auto"/>
          <w:sz w:val="32"/>
          <w:szCs w:val="32"/>
          <w:highlight w:val="none"/>
        </w:rPr>
      </w:pPr>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347345</wp:posOffset>
            </wp:positionH>
            <wp:positionV relativeFrom="paragraph">
              <wp:posOffset>-186055</wp:posOffset>
            </wp:positionV>
            <wp:extent cx="4530725" cy="3070225"/>
            <wp:effectExtent l="4445" t="5080" r="17780" b="1079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pStyle w:val="9"/>
        <w:rPr>
          <w:rFonts w:hint="eastAsia" w:ascii="仿宋" w:hAnsi="仿宋" w:eastAsia="仿宋"/>
          <w:color w:val="auto"/>
          <w:sz w:val="32"/>
          <w:szCs w:val="32"/>
          <w:highlight w:val="none"/>
        </w:rPr>
      </w:pPr>
    </w:p>
    <w:p>
      <w:pPr>
        <w:spacing w:line="600" w:lineRule="exact"/>
        <w:ind w:firstLine="640" w:firstLineChars="200"/>
        <w:jc w:val="center"/>
        <w:rPr>
          <w:rFonts w:ascii="仿宋_GB2312" w:eastAsia="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（图2：收入决算结构图）</w:t>
      </w:r>
    </w:p>
    <w:p>
      <w:pPr>
        <w:pStyle w:val="29"/>
        <w:keepNext w:val="0"/>
        <w:keepLines w:val="0"/>
        <w:pageBreakBefore w:val="0"/>
        <w:widowControl w:val="0"/>
        <w:numPr>
          <w:ilvl w:val="0"/>
          <w:numId w:val="0"/>
        </w:numPr>
        <w:kinsoku/>
        <w:wordWrap/>
        <w:overflowPunct/>
        <w:topLinePunct w:val="0"/>
        <w:autoSpaceDE/>
        <w:autoSpaceDN/>
        <w:bidi w:val="0"/>
        <w:adjustRightInd/>
        <w:spacing w:line="576" w:lineRule="exact"/>
        <w:ind w:left="640" w:leftChars="0"/>
        <w:textAlignment w:val="auto"/>
        <w:outlineLvl w:val="1"/>
        <w:rPr>
          <w:rFonts w:hint="eastAsia" w:ascii="黑体" w:hAnsi="黑体" w:eastAsia="黑体"/>
          <w:color w:val="auto"/>
          <w:sz w:val="32"/>
          <w:szCs w:val="32"/>
          <w:highlight w:val="none"/>
          <w:lang w:eastAsia="zh-CN"/>
        </w:rPr>
      </w:pPr>
      <w:bookmarkStart w:id="42" w:name="_Toc15869"/>
      <w:bookmarkStart w:id="43" w:name="_Toc15377207"/>
      <w:bookmarkStart w:id="44" w:name="_Toc21203"/>
      <w:bookmarkStart w:id="45" w:name="_Toc15396605"/>
      <w:r>
        <w:rPr>
          <w:rFonts w:hint="eastAsia" w:ascii="黑体" w:hAnsi="黑体" w:eastAsia="黑体"/>
          <w:color w:val="auto"/>
          <w:sz w:val="32"/>
          <w:szCs w:val="32"/>
          <w:highlight w:val="none"/>
          <w:lang w:eastAsia="zh-CN"/>
        </w:rPr>
        <w:t>三、支出决算情况说明</w:t>
      </w:r>
      <w:bookmarkEnd w:id="42"/>
      <w:bookmarkEnd w:id="43"/>
      <w:bookmarkEnd w:id="44"/>
      <w:bookmarkEnd w:id="45"/>
    </w:p>
    <w:p>
      <w:pPr>
        <w:spacing w:line="600" w:lineRule="exact"/>
        <w:ind w:firstLine="640" w:firstLineChars="200"/>
        <w:outlineLvl w:val="1"/>
        <w:rPr>
          <w:rFonts w:ascii="仿宋" w:hAnsi="仿宋" w:eastAsia="仿宋"/>
          <w:color w:val="auto"/>
          <w:sz w:val="32"/>
          <w:szCs w:val="32"/>
          <w:highlight w:val="none"/>
        </w:rPr>
      </w:pPr>
      <w:bookmarkStart w:id="46" w:name="_Toc12877"/>
      <w:bookmarkStart w:id="47" w:name="_Toc16900"/>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43092.38</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1795.64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4.17</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41296.74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95.83</w:t>
      </w:r>
      <w:r>
        <w:rPr>
          <w:rFonts w:hint="eastAsia" w:ascii="仿宋_GB2312" w:hAnsi="仿宋_GB2312" w:eastAsia="仿宋_GB2312" w:cs="仿宋_GB2312"/>
          <w:color w:val="auto"/>
          <w:sz w:val="32"/>
          <w:szCs w:val="32"/>
          <w:highlight w:val="none"/>
        </w:rPr>
        <w:t>%。</w:t>
      </w:r>
      <w:bookmarkEnd w:id="46"/>
      <w:bookmarkEnd w:id="47"/>
    </w:p>
    <w:p>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1312" behindDoc="0" locked="0" layoutInCell="1" allowOverlap="1">
            <wp:simplePos x="0" y="0"/>
            <wp:positionH relativeFrom="column">
              <wp:posOffset>371475</wp:posOffset>
            </wp:positionH>
            <wp:positionV relativeFrom="paragraph">
              <wp:posOffset>255905</wp:posOffset>
            </wp:positionV>
            <wp:extent cx="4596130" cy="2609215"/>
            <wp:effectExtent l="4445" t="4445" r="9525" b="1524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9"/>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pStyle w:val="9"/>
        <w:rPr>
          <w:rFonts w:hint="eastAsia" w:ascii="仿宋" w:hAnsi="仿宋" w:eastAsia="仿宋"/>
          <w:color w:val="auto"/>
          <w:sz w:val="32"/>
          <w:szCs w:val="32"/>
          <w:highlight w:val="none"/>
          <w:shd w:val="pct10" w:color="auto" w:fill="FFFFFF"/>
          <w:lang w:eastAsia="zh-CN"/>
        </w:rPr>
      </w:pPr>
    </w:p>
    <w:p>
      <w:pPr>
        <w:pStyle w:val="9"/>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spacing w:line="600" w:lineRule="exact"/>
        <w:ind w:firstLine="640" w:firstLineChars="200"/>
        <w:jc w:val="center"/>
        <w:outlineLvl w:val="1"/>
        <w:rPr>
          <w:rFonts w:ascii="仿宋_GB2312" w:eastAsia="仿宋_GB2312"/>
          <w:color w:val="auto"/>
          <w:sz w:val="32"/>
          <w:szCs w:val="32"/>
          <w:highlight w:val="none"/>
        </w:rPr>
      </w:pPr>
      <w:bookmarkStart w:id="48" w:name="_Toc9217"/>
      <w:bookmarkStart w:id="49" w:name="_Toc21869"/>
      <w:r>
        <w:rPr>
          <w:rFonts w:hint="eastAsia" w:ascii="仿宋_GB2312" w:hAnsi="仿宋_GB2312" w:eastAsia="仿宋_GB2312" w:cs="仿宋_GB2312"/>
          <w:color w:val="auto"/>
          <w:sz w:val="32"/>
          <w:szCs w:val="32"/>
          <w:highlight w:val="none"/>
        </w:rPr>
        <w:t>（图3：支出决算结构图）</w:t>
      </w:r>
      <w:bookmarkEnd w:id="48"/>
      <w:bookmarkEnd w:id="49"/>
    </w:p>
    <w:p>
      <w:pPr>
        <w:spacing w:line="600" w:lineRule="exact"/>
        <w:ind w:firstLine="640" w:firstLineChars="200"/>
        <w:outlineLvl w:val="1"/>
        <w:rPr>
          <w:rStyle w:val="20"/>
          <w:rFonts w:ascii="黑体" w:hAnsi="黑体" w:eastAsia="黑体"/>
          <w:b w:val="0"/>
          <w:color w:val="auto"/>
          <w:highlight w:val="none"/>
        </w:rPr>
      </w:pPr>
      <w:bookmarkStart w:id="50" w:name="_Toc2668"/>
      <w:bookmarkStart w:id="51" w:name="_Toc15396606"/>
      <w:bookmarkStart w:id="52" w:name="_Toc15377208"/>
      <w:bookmarkStart w:id="53" w:name="_Toc29359"/>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50"/>
      <w:bookmarkEnd w:id="51"/>
      <w:bookmarkEnd w:id="52"/>
      <w:bookmarkEnd w:id="53"/>
    </w:p>
    <w:p>
      <w:pPr>
        <w:spacing w:line="600" w:lineRule="exact"/>
        <w:ind w:firstLine="640" w:firstLineChars="200"/>
        <w:outlineLvl w:val="1"/>
        <w:rPr>
          <w:rFonts w:hint="default" w:ascii="仿宋_GB2312" w:hAnsi="仿宋_GB2312" w:eastAsia="仿宋_GB2312" w:cs="仿宋_GB2312"/>
          <w:color w:val="auto"/>
          <w:sz w:val="32"/>
          <w:szCs w:val="32"/>
          <w:highlight w:val="none"/>
          <w:lang w:val="en-US" w:eastAsia="zh-CN"/>
        </w:rPr>
      </w:pPr>
      <w:bookmarkStart w:id="54" w:name="_Toc28232"/>
      <w:bookmarkStart w:id="55" w:name="_Toc25893"/>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61107.65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2718.83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4.66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2022年项目资金增加。</w:t>
      </w:r>
      <w:bookmarkEnd w:id="54"/>
      <w:bookmarkEnd w:id="55"/>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589915</wp:posOffset>
            </wp:positionH>
            <wp:positionV relativeFrom="paragraph">
              <wp:posOffset>70485</wp:posOffset>
            </wp:positionV>
            <wp:extent cx="4326255" cy="2750185"/>
            <wp:effectExtent l="4445" t="4445" r="12700" b="762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sz w:val="32"/>
        </w:rPr>
        <mc:AlternateContent>
          <mc:Choice Requires="wps">
            <w:drawing>
              <wp:anchor distT="0" distB="0" distL="114300" distR="114300" simplePos="0" relativeHeight="251667456" behindDoc="0" locked="0" layoutInCell="1" allowOverlap="1">
                <wp:simplePos x="0" y="0"/>
                <wp:positionH relativeFrom="column">
                  <wp:posOffset>4304665</wp:posOffset>
                </wp:positionH>
                <wp:positionV relativeFrom="paragraph">
                  <wp:posOffset>149860</wp:posOffset>
                </wp:positionV>
                <wp:extent cx="688340" cy="276860"/>
                <wp:effectExtent l="0" t="0" r="16510" b="8890"/>
                <wp:wrapNone/>
                <wp:docPr id="11" name="文本框 11"/>
                <wp:cNvGraphicFramePr/>
                <a:graphic xmlns:a="http://schemas.openxmlformats.org/drawingml/2006/main">
                  <a:graphicData uri="http://schemas.microsoft.com/office/word/2010/wordprocessingShape">
                    <wps:wsp>
                      <wps:cNvSpPr txBox="true"/>
                      <wps:spPr>
                        <a:xfrm>
                          <a:off x="0" y="0"/>
                          <a:ext cx="688340" cy="2768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8.95pt;margin-top:11.8pt;height:21.8pt;width:54.2pt;z-index:251667456;mso-width-relative:page;mso-height-relative:page;" fillcolor="#FFFFFF [3201]" filled="t" stroked="f" coordsize="21600,21600" o:gfxdata="UEsFBgAAAAAAAAAAAAAAAAAAAAAAAFBLAwQKAAAAAACHTuJAAAAAAAAAAAAAAAAABAAAAGRycy9Q&#10;SwMEFAAAAAgAh07iQPcCc/TVAAAACQEAAA8AAABkcnMvZG93bnJldi54bWxNj8tqwzAQRfeB/oOY&#10;QnaJbKfYqWM5i0K3hTyatWJNLFNpZCTl+fVVVu1yuId7zzTrmzXsgj4MjgTk8wwYUufUQL2A/e5z&#10;tgQWoiQljSMUcMcA6/Zl0shauStt8LKNPUslFGopQMc41pyHTqOVYe5GpJSdnLcyptP3XHl5TeXW&#10;8CLLSm7lQGlByxE/NHY/27MVcOjt4/Cdj14ra97o63Hf7d0gxPQ1z1bAIt7iHwxP/aQObXI6ujOp&#10;wIyAsqreEyqgWJTAElAtywWw4zMpgLcN//9B+wtQSwMEFAAAAAgAh07iQNJ8gl47AgAAVAQAAA4A&#10;AABkcnMvZTJvRG9jLnhtbK1UzW4TMRC+I/EOlu90k7RNQ9RNFVoFIVW0UkGcHa+drOT1GNvJbnkA&#10;eANOXLjzXH0OPjubtPycEDk4M57P8/PNzJ5fdI1hW+VDTbbkw6MBZ8pKqmq7Kvn7d4sXE85CFLYS&#10;hqwq+b0K/GL2/Nl566ZqRGsylfIMTmyYtq7k6xjdtCiCXKtGhCNyysKoyTciQvWrovKihffGFKPB&#10;YFy05CvnSaoQcHu1M/JZ9q+1kvFG66AiMyVHbjGfPp/LdBazczFdeeHWtezTEP+QRSNqi6AHV1ci&#10;Crbx9R+umlp6CqTjkaSmIK1rqXINqGY4+K2au7VwKtcCcoI70BT+n1v5dnvrWV2hd0POrGjQo4ev&#10;Xx6+/Xj4/pnhDgS1LkyBu3NAxu4VdSWPfqP2poD7VHqnfZP+URQDBGzfHxhWXWQSl+PJ5PgEFgnT&#10;6Gw8GecOFI+PnQ/xtaKGJaHkHg3MvIrtdYjIBdA9JMUKZOpqURuTFb9aXhrPtgLNXuRfyhFPfoEZ&#10;y1pkcnw6yJ4tpfc7nLGAp3J3NSUpdsuu52BJ1T0o8LSbouDkokaW1yLEW+ExNigMqxBvcGhDCEK9&#10;xNma/Ke/3Sc8ugkrZy3GsOTh40Z4xZl5Y9Hnl8OTxFfMysnp2QiKf2pZPrXYTXNJKB6tRHZZTPho&#10;9qL21HzAxsxTVC1MQCBhJeKjp3vxMkLrjdg8qebzg46pdSJe2zsn+ylIzFuabyLpOncosbajqicT&#10;o5u70K9Z2o2nekY9fgxm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3AnP01QAAAAkBAAAPAAAA&#10;AAAAAAEAIAAAADgAAABkcnMvZG93bnJldi54bWxQSwECFAAUAAAACACHTuJA0nyCXjsCAABUBAAA&#10;DgAAAAAAAAABACAAAAA6AQAAZHJzL2Uyb0RvYy54bWxQSwUGAAAAAAYABgBZAQAA5wUAAAAA&#10;">
                <v:fill on="t" focussize="0,0"/>
                <v:stroke on="f" weight="0.5pt"/>
                <v:imagedata o:title=""/>
                <o:lock v:ext="edit" aspectratio="f"/>
                <v:textbox>
                  <w:txbxContent>
                    <w:p>
                      <w:pPr>
                        <w:rPr>
                          <w:rFonts w:hint="eastAsia" w:eastAsia="宋体"/>
                          <w:sz w:val="15"/>
                          <w:szCs w:val="15"/>
                          <w:lang w:eastAsia="zh-CN"/>
                        </w:rPr>
                      </w:pPr>
                      <w:r>
                        <w:rPr>
                          <w:rFonts w:hint="eastAsia"/>
                          <w:sz w:val="15"/>
                          <w:szCs w:val="15"/>
                          <w:lang w:eastAsia="zh-CN"/>
                        </w:rPr>
                        <w:t>单位：万元</w:t>
                      </w:r>
                    </w:p>
                  </w:txbxContent>
                </v:textbox>
              </v:shape>
            </w:pict>
          </mc:Fallback>
        </mc:AlternateContent>
      </w: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1"/>
        <w:rPr>
          <w:rStyle w:val="20"/>
          <w:rFonts w:ascii="黑体" w:hAnsi="黑体" w:eastAsia="黑体"/>
          <w:b w:val="0"/>
          <w:color w:val="auto"/>
          <w:highlight w:val="none"/>
        </w:rPr>
      </w:pPr>
      <w:bookmarkStart w:id="56" w:name="_Toc24656"/>
      <w:bookmarkStart w:id="57" w:name="_Toc32002"/>
      <w:bookmarkStart w:id="58" w:name="_Toc15396607"/>
      <w:bookmarkStart w:id="59"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56"/>
      <w:bookmarkEnd w:id="57"/>
      <w:bookmarkEnd w:id="58"/>
      <w:bookmarkEnd w:id="59"/>
    </w:p>
    <w:p>
      <w:pPr>
        <w:keepNext w:val="0"/>
        <w:keepLines w:val="0"/>
        <w:pageBreakBefore w:val="0"/>
        <w:widowControl w:val="0"/>
        <w:kinsoku/>
        <w:wordWrap/>
        <w:overflowPunct/>
        <w:topLinePunct w:val="0"/>
        <w:autoSpaceDE/>
        <w:autoSpaceDN/>
        <w:bidi w:val="0"/>
        <w:adjustRightInd/>
        <w:snapToGrid/>
        <w:spacing w:line="660" w:lineRule="exact"/>
        <w:ind w:firstLine="642" w:firstLineChars="200"/>
        <w:textAlignment w:val="auto"/>
        <w:outlineLvl w:val="2"/>
        <w:rPr>
          <w:rFonts w:hint="eastAsia" w:ascii="楷体_GB2312" w:hAnsi="楷体_GB2312" w:eastAsia="楷体_GB2312" w:cs="楷体_GB2312"/>
          <w:b/>
          <w:bCs/>
          <w:color w:val="auto"/>
          <w:kern w:val="2"/>
          <w:sz w:val="32"/>
          <w:szCs w:val="32"/>
          <w:lang w:val="en-US" w:eastAsia="zh-CN" w:bidi="ar-SA"/>
        </w:rPr>
      </w:pPr>
      <w:bookmarkStart w:id="60" w:name="_Toc15377210"/>
      <w:r>
        <w:rPr>
          <w:rFonts w:hint="eastAsia" w:ascii="楷体_GB2312" w:hAnsi="楷体_GB2312" w:eastAsia="楷体_GB2312" w:cs="楷体_GB2312"/>
          <w:b/>
          <w:bCs/>
          <w:color w:val="auto"/>
          <w:kern w:val="2"/>
          <w:sz w:val="32"/>
          <w:szCs w:val="32"/>
          <w:lang w:val="en-US" w:eastAsia="zh-CN" w:bidi="ar-SA"/>
        </w:rPr>
        <w:t>（一）一般公共预算财政拨款支出决算总体情况</w:t>
      </w:r>
      <w:bookmarkEnd w:id="60"/>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1"/>
        <w:rPr>
          <w:rFonts w:ascii="仿宋" w:hAnsi="仿宋" w:eastAsia="仿宋"/>
          <w:color w:val="auto"/>
          <w:sz w:val="32"/>
          <w:szCs w:val="32"/>
          <w:highlight w:val="none"/>
        </w:rPr>
      </w:pPr>
      <w:bookmarkStart w:id="61" w:name="_Toc15836"/>
      <w:bookmarkStart w:id="62" w:name="_Toc18578"/>
      <w:r>
        <w:rPr>
          <w:rFonts w:hint="eastAsia" w:ascii="仿宋_GB2312" w:hAnsi="仿宋_GB2312" w:eastAsia="仿宋_GB2312" w:cs="仿宋_GB2312"/>
          <w:color w:val="auto"/>
          <w:sz w:val="32"/>
          <w:szCs w:val="32"/>
          <w:highlight w:val="none"/>
          <w:lang w:val="en-US" w:eastAsia="zh-CN"/>
        </w:rPr>
        <w:t>2022年一般公共预算财政拨款支出17222.08万元，占本年支出合计的39.99%。与2021年相比，一般公共预算财政拨款支出增加2673.93万元，增长18.38%。主要变动原因是2022年海绵城市建设项目资金增加。</w:t>
      </w:r>
      <w:bookmarkEnd w:id="61"/>
      <w:bookmarkEnd w:id="62"/>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527050</wp:posOffset>
            </wp:positionH>
            <wp:positionV relativeFrom="paragraph">
              <wp:posOffset>95885</wp:posOffset>
            </wp:positionV>
            <wp:extent cx="4134485" cy="2433955"/>
            <wp:effectExtent l="4445" t="4445" r="13970" b="1905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9"/>
        <w:rPr>
          <w:rFonts w:ascii="仿宋" w:hAnsi="仿宋" w:eastAsia="仿宋"/>
          <w:color w:val="auto"/>
          <w:sz w:val="32"/>
          <w:szCs w:val="32"/>
          <w:highlight w:val="none"/>
        </w:rPr>
      </w:pPr>
      <w:r>
        <w:rPr>
          <w:sz w:val="32"/>
        </w:rPr>
        <mc:AlternateContent>
          <mc:Choice Requires="wps">
            <w:drawing>
              <wp:anchor distT="0" distB="0" distL="114300" distR="114300" simplePos="0" relativeHeight="251668480" behindDoc="0" locked="0" layoutInCell="1" allowOverlap="1">
                <wp:simplePos x="0" y="0"/>
                <wp:positionH relativeFrom="column">
                  <wp:posOffset>4082415</wp:posOffset>
                </wp:positionH>
                <wp:positionV relativeFrom="paragraph">
                  <wp:posOffset>126365</wp:posOffset>
                </wp:positionV>
                <wp:extent cx="607695" cy="260985"/>
                <wp:effectExtent l="0" t="0" r="1905" b="5715"/>
                <wp:wrapNone/>
                <wp:docPr id="12" name="文本框 12"/>
                <wp:cNvGraphicFramePr/>
                <a:graphic xmlns:a="http://schemas.openxmlformats.org/drawingml/2006/main">
                  <a:graphicData uri="http://schemas.microsoft.com/office/word/2010/wordprocessingShape">
                    <wps:wsp>
                      <wps:cNvSpPr txBox="true"/>
                      <wps:spPr>
                        <a:xfrm>
                          <a:off x="0" y="0"/>
                          <a:ext cx="607695" cy="260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3"/>
                                <w:szCs w:val="13"/>
                                <w:lang w:eastAsia="zh-CN"/>
                              </w:rPr>
                            </w:pPr>
                            <w:r>
                              <w:rPr>
                                <w:rFonts w:hint="eastAsia"/>
                                <w:sz w:val="13"/>
                                <w:szCs w:val="13"/>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1.45pt;margin-top:9.95pt;height:20.55pt;width:47.85pt;z-index:251668480;mso-width-relative:page;mso-height-relative:page;" fillcolor="#FFFFFF [3201]" filled="t" stroked="f" coordsize="21600,21600" o:gfxdata="UEsFBgAAAAAAAAAAAAAAAAAAAAAAAFBLAwQKAAAAAACHTuJAAAAAAAAAAAAAAAAABAAAAGRycy9Q&#10;SwMEFAAAAAgAh07iQJSZJq/UAAAACQEAAA8AAABkcnMvZG93bnJldi54bWxNj8tOwzAQRfdI/IM1&#10;SOyonVKFNsTpAoktEn2t3XiII+xxFLvPr+90BavR6FzdOVMvz8GLI46pj6ShmCgQSG20PXUaNuvP&#10;lzmIlA1Z4yOhhgsmWDaPD7WpbDzRNx5XuRNcQqkyGlzOQyVlah0GkyZxQGL2E8dgMq9jJ+1oTlwe&#10;vJwqVcpgeuILzgz44bD9XR2Chl0XrrttMYzOBj+jr+tlvYm91s9PhXoHkfGc/8Jw12d1aNhpHw9k&#10;k/Aaytl0wVEGC54ceHudlyD2TAoFsqnl/w+aG1BLAwQUAAAACACHTuJAfOlZ9DsCAABUBAAADgAA&#10;AGRycy9lMm9Eb2MueG1srVTNjtowEL5X6jtYvpcECuyCCCvKiqoS6q5Eq56NY5NIjse1DQl9gPYN&#10;euql9z4Xz9GxE1j6c6qagzPjmczM981MZndNpchBWFeCzmi/l1IiNIe81LuMvn+3enFLifNM50yB&#10;Fhk9Ckfv5s+fzWozFQMoQOXCEgyi3bQ2GS28N9MkcbwQFXM9MEKjUYKtmEfV7pLcshqjVyoZpOk4&#10;qcHmxgIXzuHtfWuk8xhfSsH9g5ROeKIyirX5eNp4bsOZzGdsurPMFCXvymD/UEXFSo1JL6HumWdk&#10;b8s/QlUlt+BA+h6HKgEpSy4iBkTTT39DsymYERELkuPMhSb3/8Lyt4dHS8ocezegRLMKe3T6+uX0&#10;7cfp+2eCd0hQbdwU/TYGPX3zCpqMersXZ5PD+wC9kbYKbwRF0AXZPl4YFo0nHC/H6c14MqKEo2kw&#10;Tie3oxAlefrYWOdfC6hIEDJqsYGRV3ZYO9+6nl1CLgeqzFelUlGxu+1SWXJg2OxVfLrov7gpTWqs&#10;5OUojZE1hO/b0EpjMQFuiylIvtk2HQdbyI9IgYV2ipzhqxKrXDPnH5nFsUHIuAr+AQ+pAJNAJ1FS&#10;gP30t/vgj91EKyU1jmFG3cc9s4IS9UZjnyf94TDMbVSGo5sBKvbasr226H21BATfx6UzPIrB36uz&#10;KC1UH3BjFiGrZMphIqY55seensWlR60z4uZxsVhcdJxaw/xabwzvpiAwr2Gx9yDL2KHAWktVRyaO&#10;buxxt2ZhN6716PX0M5j/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JSZJq/UAAAACQEAAA8AAAAA&#10;AAAAAQAgAAAAOAAAAGRycy9kb3ducmV2LnhtbFBLAQIUABQAAAAIAIdO4kB86Vn0OwIAAFQEAAAO&#10;AAAAAAAAAAEAIAAAADkBAABkcnMvZTJvRG9jLnhtbFBLBQYAAAAABgAGAFkBAADmBQAAAAA=&#10;">
                <v:fill on="t" focussize="0,0"/>
                <v:stroke on="f" weight="0.5pt"/>
                <v:imagedata o:title=""/>
                <o:lock v:ext="edit" aspectratio="f"/>
                <v:textbox>
                  <w:txbxContent>
                    <w:p>
                      <w:pPr>
                        <w:rPr>
                          <w:rFonts w:hint="eastAsia" w:eastAsia="宋体"/>
                          <w:sz w:val="13"/>
                          <w:szCs w:val="13"/>
                          <w:lang w:eastAsia="zh-CN"/>
                        </w:rPr>
                      </w:pPr>
                      <w:r>
                        <w:rPr>
                          <w:rFonts w:hint="eastAsia"/>
                          <w:sz w:val="13"/>
                          <w:szCs w:val="13"/>
                          <w:lang w:eastAsia="zh-CN"/>
                        </w:rPr>
                        <w:t>单位：万元</w:t>
                      </w:r>
                    </w:p>
                  </w:txbxContent>
                </v:textbox>
              </v:shape>
            </w:pict>
          </mc:Fallback>
        </mc:AlternateContent>
      </w:r>
    </w:p>
    <w:p>
      <w:pPr>
        <w:pStyle w:val="9"/>
        <w:rPr>
          <w:rFonts w:hint="eastAsia" w:ascii="仿宋" w:hAnsi="仿宋" w:eastAsia="仿宋"/>
          <w:color w:val="auto"/>
          <w:sz w:val="32"/>
          <w:szCs w:val="32"/>
          <w:highlight w:val="none"/>
          <w:lang w:eastAsia="zh-CN"/>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1"/>
        <w:rPr>
          <w:rFonts w:ascii="仿宋" w:hAnsi="仿宋" w:eastAsia="仿宋"/>
          <w:color w:val="auto"/>
          <w:sz w:val="32"/>
          <w:szCs w:val="32"/>
          <w:highlight w:val="none"/>
        </w:rPr>
      </w:pPr>
      <w:bookmarkStart w:id="63" w:name="_Toc20266"/>
      <w:bookmarkStart w:id="64" w:name="_Toc8044"/>
      <w:r>
        <w:rPr>
          <w:rFonts w:hint="eastAsia" w:ascii="仿宋_GB2312" w:hAnsi="仿宋_GB2312" w:eastAsia="仿宋_GB2312" w:cs="仿宋_GB2312"/>
          <w:color w:val="auto"/>
          <w:sz w:val="32"/>
          <w:szCs w:val="32"/>
          <w:highlight w:val="none"/>
          <w:lang w:val="en-US" w:eastAsia="zh-CN"/>
        </w:rPr>
        <w:t>（图5：一般公共预算财政拨款支出决算变动情况）</w:t>
      </w:r>
      <w:bookmarkEnd w:id="63"/>
      <w:bookmarkEnd w:id="64"/>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color w:val="auto"/>
          <w:kern w:val="2"/>
          <w:sz w:val="32"/>
          <w:szCs w:val="32"/>
          <w:lang w:val="en-US" w:eastAsia="zh-CN" w:bidi="ar-SA"/>
        </w:rPr>
      </w:pPr>
      <w:bookmarkStart w:id="65" w:name="_Toc15377211"/>
      <w:r>
        <w:rPr>
          <w:rFonts w:hint="eastAsia" w:ascii="楷体_GB2312" w:hAnsi="楷体_GB2312" w:eastAsia="楷体_GB2312" w:cs="楷体_GB2312"/>
          <w:b/>
          <w:bCs/>
          <w:color w:val="auto"/>
          <w:kern w:val="2"/>
          <w:sz w:val="32"/>
          <w:szCs w:val="32"/>
          <w:lang w:val="en-US" w:eastAsia="zh-CN" w:bidi="ar-SA"/>
        </w:rPr>
        <w:t>（二）一般公共预算财政拨款支出决算结构情况</w:t>
      </w:r>
      <w:bookmarkEnd w:id="6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66" w:name="_Toc5651"/>
      <w:bookmarkStart w:id="67" w:name="_Toc19964"/>
      <w:r>
        <w:rPr>
          <w:rFonts w:hint="eastAsia" w:ascii="仿宋_GB2312" w:hAnsi="仿宋_GB2312" w:eastAsia="仿宋_GB2312" w:cs="仿宋_GB2312"/>
          <w:color w:val="auto"/>
          <w:sz w:val="32"/>
          <w:szCs w:val="32"/>
          <w:highlight w:val="none"/>
          <w:lang w:val="en-US" w:eastAsia="zh-CN"/>
        </w:rPr>
        <w:t>2022年一般公共预算财政拨款支出17222.08万元，主要用于以下方面：一般公共服务支出9.88万元，占0.06%；教育支出14.5万元，占0.08%；社会保障和就业支出146.99万元，占0.85%；卫生健康支出50.98万元，占0.3%；节能环保支出11000万元，占63.87%；城乡社区支出2078.68万元，占12.07%；住房保障支出3866.06万元，占22.45%；灾害防治及应急管理支出25万元，占0.15%，其他支出30万元，占0.17%。</w:t>
      </w:r>
      <w:bookmarkEnd w:id="66"/>
      <w:bookmarkEnd w:id="67"/>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687705</wp:posOffset>
            </wp:positionH>
            <wp:positionV relativeFrom="paragraph">
              <wp:posOffset>204470</wp:posOffset>
            </wp:positionV>
            <wp:extent cx="3915410" cy="2155190"/>
            <wp:effectExtent l="5080" t="4445" r="22860" b="1206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1"/>
        <w:rPr>
          <w:rFonts w:ascii="仿宋" w:hAnsi="仿宋" w:eastAsia="仿宋"/>
          <w:color w:val="auto"/>
          <w:sz w:val="32"/>
          <w:szCs w:val="32"/>
          <w:highlight w:val="none"/>
        </w:rPr>
      </w:pPr>
      <w:bookmarkStart w:id="68" w:name="_Toc26533"/>
      <w:bookmarkStart w:id="69" w:name="_Toc2317"/>
      <w:r>
        <w:rPr>
          <w:rFonts w:hint="eastAsia" w:ascii="仿宋_GB2312" w:hAnsi="仿宋_GB2312" w:eastAsia="仿宋_GB2312" w:cs="仿宋_GB2312"/>
          <w:color w:val="auto"/>
          <w:sz w:val="32"/>
          <w:szCs w:val="32"/>
          <w:highlight w:val="none"/>
          <w:lang w:val="en-US" w:eastAsia="zh-CN"/>
        </w:rPr>
        <w:t>（图6：一般公共预算财政拨款支出决算结构）</w:t>
      </w:r>
      <w:bookmarkEnd w:id="68"/>
      <w:bookmarkEnd w:id="69"/>
    </w:p>
    <w:p>
      <w:pPr>
        <w:keepNext w:val="0"/>
        <w:keepLines w:val="0"/>
        <w:pageBreakBefore w:val="0"/>
        <w:widowControl w:val="0"/>
        <w:kinsoku/>
        <w:wordWrap/>
        <w:overflowPunct/>
        <w:topLinePunct w:val="0"/>
        <w:autoSpaceDE/>
        <w:autoSpaceDN/>
        <w:bidi w:val="0"/>
        <w:adjustRightInd/>
        <w:snapToGrid/>
        <w:spacing w:line="660" w:lineRule="exact"/>
        <w:ind w:firstLine="642" w:firstLineChars="200"/>
        <w:textAlignment w:val="auto"/>
        <w:outlineLvl w:val="2"/>
        <w:rPr>
          <w:rFonts w:hint="eastAsia" w:ascii="楷体_GB2312" w:hAnsi="楷体_GB2312" w:eastAsia="楷体_GB2312" w:cs="楷体_GB2312"/>
          <w:b/>
          <w:bCs/>
          <w:color w:val="auto"/>
          <w:kern w:val="2"/>
          <w:sz w:val="32"/>
          <w:szCs w:val="32"/>
          <w:lang w:val="en-US" w:eastAsia="zh-CN" w:bidi="ar-SA"/>
        </w:rPr>
      </w:pPr>
      <w:bookmarkStart w:id="70" w:name="_Toc15377212"/>
      <w:r>
        <w:rPr>
          <w:rFonts w:hint="eastAsia" w:ascii="楷体_GB2312" w:hAnsi="楷体_GB2312" w:eastAsia="楷体_GB2312" w:cs="楷体_GB2312"/>
          <w:b/>
          <w:bCs/>
          <w:color w:val="auto"/>
          <w:kern w:val="2"/>
          <w:sz w:val="32"/>
          <w:szCs w:val="32"/>
          <w:lang w:val="en-US" w:eastAsia="zh-CN" w:bidi="ar-SA"/>
        </w:rPr>
        <w:t>（三）一般公共预算财政拨款支出决算具体情况</w:t>
      </w:r>
      <w:bookmarkEnd w:id="70"/>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en-US" w:eastAsia="zh-CN"/>
        </w:rPr>
      </w:pPr>
      <w:bookmarkStart w:id="71" w:name="_Toc28799"/>
      <w:bookmarkStart w:id="72" w:name="_Toc11901"/>
      <w:bookmarkStart w:id="73" w:name="_Toc15377444"/>
      <w:bookmarkStart w:id="74" w:name="_Toc15378460"/>
      <w:bookmarkStart w:id="75" w:name="_Toc15377213"/>
      <w:r>
        <w:rPr>
          <w:rFonts w:hint="eastAsia" w:ascii="仿宋_GB2312" w:hAnsi="仿宋_GB2312" w:eastAsia="仿宋_GB2312" w:cs="仿宋_GB2312"/>
          <w:b w:val="0"/>
          <w:bCs w:val="0"/>
          <w:color w:val="auto"/>
          <w:sz w:val="32"/>
          <w:szCs w:val="32"/>
          <w:highlight w:val="none"/>
          <w:lang w:val="en-US" w:eastAsia="zh-CN"/>
        </w:rPr>
        <w:t>2022年一般公共预算支出决算数为17222.08万元，完成预算</w:t>
      </w:r>
      <w:r>
        <w:rPr>
          <w:rFonts w:hint="default" w:ascii="仿宋_GB2312" w:hAnsi="仿宋_GB2312" w:eastAsia="仿宋_GB2312" w:cs="仿宋_GB2312"/>
          <w:b w:val="0"/>
          <w:bCs w:val="0"/>
          <w:color w:val="auto"/>
          <w:sz w:val="32"/>
          <w:szCs w:val="32"/>
          <w:highlight w:val="none"/>
          <w:lang w:eastAsia="zh-CN"/>
        </w:rPr>
        <w:t>70.47</w:t>
      </w:r>
      <w:r>
        <w:rPr>
          <w:rFonts w:hint="eastAsia" w:ascii="仿宋_GB2312" w:hAnsi="仿宋_GB2312" w:eastAsia="仿宋_GB2312" w:cs="仿宋_GB2312"/>
          <w:b w:val="0"/>
          <w:bCs w:val="0"/>
          <w:color w:val="auto"/>
          <w:sz w:val="32"/>
          <w:szCs w:val="32"/>
          <w:highlight w:val="none"/>
          <w:lang w:val="en-US" w:eastAsia="zh-CN"/>
        </w:rPr>
        <w:t>%。其中：</w:t>
      </w:r>
      <w:bookmarkEnd w:id="71"/>
      <w:bookmarkEnd w:id="72"/>
      <w:bookmarkEnd w:id="73"/>
      <w:bookmarkEnd w:id="74"/>
      <w:bookmarkEnd w:id="75"/>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rPr>
        <w:t>1.一般公共服务（类）</w:t>
      </w:r>
      <w:r>
        <w:rPr>
          <w:rStyle w:val="17"/>
          <w:rFonts w:hint="eastAsia" w:ascii="仿宋_GB2312" w:hAnsi="仿宋_GB2312" w:eastAsia="仿宋_GB2312" w:cs="仿宋_GB2312"/>
          <w:b w:val="0"/>
          <w:bCs w:val="0"/>
          <w:color w:val="auto"/>
          <w:sz w:val="32"/>
          <w:szCs w:val="32"/>
          <w:highlight w:val="none"/>
          <w:lang w:eastAsia="zh-CN"/>
        </w:rPr>
        <w:t>商贸事务</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招商引资</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 xml:space="preserve"> 支出决算为</w:t>
      </w:r>
      <w:r>
        <w:rPr>
          <w:rStyle w:val="17"/>
          <w:rFonts w:hint="eastAsia" w:ascii="仿宋_GB2312" w:hAnsi="仿宋_GB2312" w:eastAsia="仿宋_GB2312" w:cs="仿宋_GB2312"/>
          <w:b w:val="0"/>
          <w:bCs w:val="0"/>
          <w:color w:val="auto"/>
          <w:sz w:val="32"/>
          <w:szCs w:val="32"/>
          <w:highlight w:val="none"/>
          <w:lang w:val="en-US" w:eastAsia="zh-CN"/>
        </w:rPr>
        <w:t>9.88</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%，决算数等于预算数。</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rPr>
        <w:t>2.教育（类）</w:t>
      </w:r>
      <w:r>
        <w:rPr>
          <w:rStyle w:val="17"/>
          <w:rFonts w:hint="eastAsia" w:ascii="仿宋_GB2312" w:hAnsi="仿宋_GB2312" w:eastAsia="仿宋_GB2312" w:cs="仿宋_GB2312"/>
          <w:b w:val="0"/>
          <w:bCs w:val="0"/>
          <w:color w:val="auto"/>
          <w:sz w:val="32"/>
          <w:szCs w:val="32"/>
          <w:highlight w:val="none"/>
          <w:lang w:eastAsia="zh-CN"/>
        </w:rPr>
        <w:t>进修及培训</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培训支出</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 xml:space="preserve"> 支出决算为</w:t>
      </w:r>
      <w:r>
        <w:rPr>
          <w:rStyle w:val="17"/>
          <w:rFonts w:hint="eastAsia" w:ascii="仿宋_GB2312" w:hAnsi="仿宋_GB2312" w:eastAsia="仿宋_GB2312" w:cs="仿宋_GB2312"/>
          <w:b w:val="0"/>
          <w:bCs w:val="0"/>
          <w:color w:val="auto"/>
          <w:sz w:val="32"/>
          <w:szCs w:val="32"/>
          <w:highlight w:val="none"/>
          <w:lang w:val="en-US" w:eastAsia="zh-CN"/>
        </w:rPr>
        <w:t>14.5</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%，决算数等于预算数。</w:t>
      </w:r>
    </w:p>
    <w:p>
      <w:pPr>
        <w:numPr>
          <w:ilvl w:val="0"/>
          <w:numId w:val="0"/>
        </w:numPr>
        <w:spacing w:line="60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rPr>
        <w:t>3.社会保障和就业（类）行政事业单位养老支出（款）机关事业单位基本养老保险缴费支出（项）</w:t>
      </w:r>
      <w:r>
        <w:rPr>
          <w:rStyle w:val="17"/>
          <w:rFonts w:hint="eastAsia" w:ascii="仿宋_GB2312" w:hAnsi="仿宋_GB2312" w:eastAsia="仿宋_GB2312" w:cs="仿宋_GB2312"/>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支出决算为94.77万元，完成预算100%，决算数等于预算数。</w:t>
      </w:r>
    </w:p>
    <w:p>
      <w:pPr>
        <w:numPr>
          <w:ilvl w:val="0"/>
          <w:numId w:val="0"/>
        </w:num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rPr>
        <w:t>4.社会保障和就业（类）行政事业单位养老支出（款）机关事业单位职业年金缴费支出（项）</w:t>
      </w:r>
      <w:r>
        <w:rPr>
          <w:rStyle w:val="17"/>
          <w:rFonts w:hint="eastAsia" w:ascii="仿宋_GB2312" w:hAnsi="仿宋_GB2312" w:eastAsia="仿宋_GB2312" w:cs="仿宋_GB2312"/>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支出决算为25.69万元，完成预算100%，决算数等于预算数。</w:t>
      </w:r>
    </w:p>
    <w:p>
      <w:pPr>
        <w:numPr>
          <w:ilvl w:val="0"/>
          <w:numId w:val="0"/>
        </w:num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rPr>
        <w:t>5.社会保障和就业（类）抚恤（款）死亡抚恤（项）</w:t>
      </w:r>
      <w:r>
        <w:rPr>
          <w:rStyle w:val="17"/>
          <w:rFonts w:hint="eastAsia" w:ascii="仿宋_GB2312" w:hAnsi="仿宋_GB2312" w:eastAsia="仿宋_GB2312" w:cs="仿宋_GB2312"/>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支出决算为21.46万元，完成预算100%，决算数等于预算数。</w:t>
      </w:r>
    </w:p>
    <w:p>
      <w:pPr>
        <w:numPr>
          <w:ilvl w:val="0"/>
          <w:numId w:val="0"/>
        </w:numPr>
        <w:spacing w:line="60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rPr>
        <w:t>6.社会保障和就业（类）</w:t>
      </w:r>
      <w:r>
        <w:rPr>
          <w:rStyle w:val="17"/>
          <w:rFonts w:hint="eastAsia" w:ascii="仿宋_GB2312" w:hAnsi="仿宋_GB2312" w:eastAsia="仿宋_GB2312" w:cs="仿宋_GB2312"/>
          <w:b w:val="0"/>
          <w:bCs w:val="0"/>
          <w:color w:val="auto"/>
          <w:sz w:val="32"/>
          <w:szCs w:val="32"/>
          <w:highlight w:val="none"/>
          <w:lang w:eastAsia="zh-CN"/>
        </w:rPr>
        <w:t>其他社会保障和就业支出</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其他社会保障和就业支出</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支出决算为5.06万元，完成预算100%，决算数等于预算数。</w:t>
      </w:r>
    </w:p>
    <w:p>
      <w:pPr>
        <w:numPr>
          <w:ilvl w:val="0"/>
          <w:numId w:val="0"/>
        </w:numPr>
        <w:spacing w:line="600" w:lineRule="exact"/>
        <w:ind w:firstLine="640" w:firstLineChars="200"/>
        <w:rPr>
          <w:rFonts w:ascii="仿宋" w:hAnsi="仿宋" w:eastAsia="仿宋"/>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7</w:t>
      </w:r>
      <w:r>
        <w:rPr>
          <w:rStyle w:val="17"/>
          <w:rFonts w:hint="eastAsia" w:ascii="仿宋_GB2312" w:hAnsi="仿宋_GB2312" w:eastAsia="仿宋_GB2312" w:cs="仿宋_GB2312"/>
          <w:b w:val="0"/>
          <w:bCs w:val="0"/>
          <w:color w:val="auto"/>
          <w:sz w:val="32"/>
          <w:szCs w:val="32"/>
          <w:highlight w:val="none"/>
        </w:rPr>
        <w:t>.卫生健康（类）行政事业单位医疗（款）行政单位医疗（项）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仿宋_GB2312" w:hAnsi="仿宋_GB2312" w:eastAsia="仿宋_GB2312" w:cs="仿宋_GB2312"/>
          <w:b w:val="0"/>
          <w:bCs w:val="0"/>
          <w:color w:val="auto"/>
          <w:sz w:val="32"/>
          <w:szCs w:val="32"/>
          <w:highlight w:val="none"/>
          <w:lang w:val="en-US" w:eastAsia="zh-CN"/>
        </w:rPr>
        <w:t>50.98</w:t>
      </w:r>
      <w:r>
        <w:rPr>
          <w:rStyle w:val="17"/>
          <w:rFonts w:hint="eastAsia" w:ascii="仿宋_GB2312" w:hAnsi="仿宋_GB2312" w:eastAsia="仿宋_GB2312" w:cs="仿宋_GB2312"/>
          <w:b w:val="0"/>
          <w:bCs w:val="0"/>
          <w:color w:val="auto"/>
          <w:sz w:val="32"/>
          <w:szCs w:val="32"/>
          <w:highlight w:val="none"/>
        </w:rPr>
        <w:t>万元，</w:t>
      </w:r>
      <w:r>
        <w:rPr>
          <w:rStyle w:val="17"/>
          <w:rFonts w:hint="eastAsia" w:ascii="仿宋_GB2312" w:hAnsi="仿宋_GB2312" w:eastAsia="仿宋_GB2312" w:cs="仿宋_GB2312"/>
          <w:b w:val="0"/>
          <w:bCs w:val="0"/>
          <w:color w:val="auto"/>
          <w:sz w:val="32"/>
          <w:szCs w:val="32"/>
          <w:highlight w:val="none"/>
          <w:lang w:val="en-US" w:eastAsia="zh-CN"/>
        </w:rPr>
        <w:t>完成预算100%，决算数等于预算数。</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8</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节能环保</w:t>
      </w:r>
      <w:r>
        <w:rPr>
          <w:rStyle w:val="17"/>
          <w:rFonts w:hint="eastAsia" w:ascii="仿宋_GB2312" w:hAnsi="仿宋_GB2312" w:eastAsia="仿宋_GB2312" w:cs="仿宋_GB2312"/>
          <w:b w:val="0"/>
          <w:bCs w:val="0"/>
          <w:color w:val="auto"/>
          <w:sz w:val="32"/>
          <w:szCs w:val="32"/>
          <w:highlight w:val="none"/>
        </w:rPr>
        <w:t>（类）</w:t>
      </w:r>
      <w:r>
        <w:rPr>
          <w:rStyle w:val="17"/>
          <w:rFonts w:hint="eastAsia" w:ascii="仿宋_GB2312" w:hAnsi="仿宋_GB2312" w:eastAsia="仿宋_GB2312" w:cs="仿宋_GB2312"/>
          <w:b w:val="0"/>
          <w:bCs w:val="0"/>
          <w:color w:val="auto"/>
          <w:sz w:val="32"/>
          <w:szCs w:val="32"/>
          <w:highlight w:val="none"/>
          <w:lang w:eastAsia="zh-CN"/>
        </w:rPr>
        <w:t>污染防治</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水体</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仿宋_GB2312" w:hAnsi="仿宋_GB2312" w:eastAsia="仿宋_GB2312" w:cs="仿宋_GB2312"/>
          <w:b w:val="0"/>
          <w:bCs w:val="0"/>
          <w:color w:val="auto"/>
          <w:sz w:val="32"/>
          <w:szCs w:val="32"/>
          <w:highlight w:val="none"/>
          <w:lang w:val="en-US" w:eastAsia="zh-CN"/>
        </w:rPr>
        <w:t>11000</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37.93</w:t>
      </w:r>
      <w:r>
        <w:rPr>
          <w:rStyle w:val="17"/>
          <w:rFonts w:hint="eastAsia" w:ascii="仿宋_GB2312" w:hAnsi="仿宋_GB2312" w:eastAsia="仿宋_GB2312" w:cs="仿宋_GB2312"/>
          <w:b w:val="0"/>
          <w:bCs w:val="0"/>
          <w:color w:val="auto"/>
          <w:sz w:val="32"/>
          <w:szCs w:val="32"/>
          <w:highlight w:val="none"/>
        </w:rPr>
        <w:t>%</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决算数小于预算数的主要原因是</w:t>
      </w:r>
      <w:r>
        <w:rPr>
          <w:rStyle w:val="17"/>
          <w:rFonts w:hint="eastAsia" w:ascii="仿宋_GB2312" w:hAnsi="仿宋_GB2312" w:eastAsia="仿宋_GB2312" w:cs="仿宋_GB2312"/>
          <w:b w:val="0"/>
          <w:bCs w:val="0"/>
          <w:color w:val="auto"/>
          <w:sz w:val="32"/>
          <w:szCs w:val="32"/>
          <w:highlight w:val="none"/>
          <w:lang w:val="en-US" w:eastAsia="zh-CN"/>
        </w:rPr>
        <w:t>2022年中央城市管网及污水处理补助资金18000万元尚未达到支付条件，结转下年支付。</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val="en" w:eastAsia="zh-CN"/>
        </w:rPr>
      </w:pPr>
      <w:r>
        <w:rPr>
          <w:rStyle w:val="17"/>
          <w:rFonts w:hint="eastAsia" w:ascii="仿宋_GB2312" w:hAnsi="仿宋_GB2312" w:eastAsia="仿宋_GB2312" w:cs="仿宋_GB2312"/>
          <w:b w:val="0"/>
          <w:bCs w:val="0"/>
          <w:color w:val="auto"/>
          <w:sz w:val="32"/>
          <w:szCs w:val="32"/>
          <w:highlight w:val="none"/>
          <w:lang w:val="en-US" w:eastAsia="zh-CN"/>
        </w:rPr>
        <w:t>9</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城乡社区</w:t>
      </w:r>
      <w:r>
        <w:rPr>
          <w:rStyle w:val="17"/>
          <w:rFonts w:hint="eastAsia" w:ascii="仿宋_GB2312" w:hAnsi="仿宋_GB2312" w:eastAsia="仿宋_GB2312" w:cs="仿宋_GB2312"/>
          <w:b w:val="0"/>
          <w:bCs w:val="0"/>
          <w:color w:val="auto"/>
          <w:sz w:val="32"/>
          <w:szCs w:val="32"/>
          <w:highlight w:val="none"/>
        </w:rPr>
        <w:t>（类）城乡社区管理事务（款）行政运行（项）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仿宋_GB2312" w:hAnsi="仿宋_GB2312" w:eastAsia="仿宋_GB2312" w:cs="仿宋_GB2312"/>
          <w:b w:val="0"/>
          <w:bCs w:val="0"/>
          <w:color w:val="auto"/>
          <w:sz w:val="32"/>
          <w:szCs w:val="32"/>
          <w:highlight w:val="none"/>
          <w:lang w:val="en-US" w:eastAsia="zh-CN"/>
        </w:rPr>
        <w:t>1296.69</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99.96</w:t>
      </w:r>
      <w:r>
        <w:rPr>
          <w:rStyle w:val="17"/>
          <w:rFonts w:hint="eastAsia" w:ascii="仿宋_GB2312" w:hAnsi="仿宋_GB2312" w:eastAsia="仿宋_GB2312" w:cs="仿宋_GB2312"/>
          <w:b w:val="0"/>
          <w:bCs w:val="0"/>
          <w:color w:val="auto"/>
          <w:sz w:val="32"/>
          <w:szCs w:val="32"/>
          <w:highlight w:val="none"/>
        </w:rPr>
        <w:t>%</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决算数小于预算数的主要原因是</w:t>
      </w:r>
      <w:r>
        <w:rPr>
          <w:rStyle w:val="17"/>
          <w:rFonts w:hint="eastAsia" w:ascii="仿宋_GB2312" w:hAnsi="仿宋_GB2312" w:eastAsia="仿宋_GB2312" w:cs="仿宋_GB2312"/>
          <w:b w:val="0"/>
          <w:bCs w:val="0"/>
          <w:color w:val="auto"/>
          <w:sz w:val="32"/>
          <w:szCs w:val="32"/>
          <w:highlight w:val="none"/>
          <w:lang w:eastAsia="zh-CN"/>
        </w:rPr>
        <w:t>年底代职工支付五险一金</w:t>
      </w:r>
      <w:r>
        <w:rPr>
          <w:rStyle w:val="17"/>
          <w:rFonts w:hint="eastAsia" w:ascii="仿宋_GB2312" w:hAnsi="仿宋_GB2312" w:eastAsia="仿宋_GB2312" w:cs="仿宋_GB2312"/>
          <w:b w:val="0"/>
          <w:bCs w:val="0"/>
          <w:color w:val="auto"/>
          <w:sz w:val="32"/>
          <w:szCs w:val="32"/>
          <w:highlight w:val="none"/>
          <w:lang w:val="en-US" w:eastAsia="zh-CN"/>
        </w:rPr>
        <w:t>0.55万元。</w:t>
      </w:r>
    </w:p>
    <w:p>
      <w:pPr>
        <w:spacing w:line="600" w:lineRule="exact"/>
        <w:ind w:firstLine="640" w:firstLineChars="200"/>
        <w:rPr>
          <w:rFonts w:ascii="仿宋" w:hAnsi="仿宋" w:eastAsia="仿宋"/>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10</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城乡社区</w:t>
      </w:r>
      <w:r>
        <w:rPr>
          <w:rStyle w:val="17"/>
          <w:rFonts w:hint="eastAsia" w:ascii="仿宋_GB2312" w:hAnsi="仿宋_GB2312" w:eastAsia="仿宋_GB2312" w:cs="仿宋_GB2312"/>
          <w:b w:val="0"/>
          <w:bCs w:val="0"/>
          <w:color w:val="auto"/>
          <w:sz w:val="32"/>
          <w:szCs w:val="32"/>
          <w:highlight w:val="none"/>
        </w:rPr>
        <w:t>（类）城乡社区管理事务（款）一般行政管理事务（项）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仿宋_GB2312" w:hAnsi="仿宋_GB2312" w:eastAsia="仿宋_GB2312" w:cs="仿宋_GB2312"/>
          <w:b w:val="0"/>
          <w:bCs w:val="0"/>
          <w:color w:val="auto"/>
          <w:sz w:val="32"/>
          <w:szCs w:val="32"/>
          <w:highlight w:val="none"/>
          <w:lang w:val="en-US" w:eastAsia="zh-CN"/>
        </w:rPr>
        <w:t>149.72</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决算数等于预算数</w:t>
      </w:r>
      <w:r>
        <w:rPr>
          <w:rStyle w:val="17"/>
          <w:rFonts w:hint="eastAsia" w:ascii="仿宋_GB2312" w:hAnsi="仿宋_GB2312" w:eastAsia="仿宋_GB2312" w:cs="仿宋_GB2312"/>
          <w:b w:val="0"/>
          <w:bCs w:val="0"/>
          <w:color w:val="auto"/>
          <w:sz w:val="32"/>
          <w:szCs w:val="32"/>
          <w:highlight w:val="none"/>
          <w:lang w:eastAsia="zh-CN"/>
        </w:rPr>
        <w:t>。</w:t>
      </w:r>
    </w:p>
    <w:p>
      <w:pPr>
        <w:numPr>
          <w:ilvl w:val="0"/>
          <w:numId w:val="0"/>
        </w:num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lang w:val="en-US" w:eastAsia="zh-CN"/>
        </w:rPr>
        <w:t>11</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城乡社区</w:t>
      </w:r>
      <w:r>
        <w:rPr>
          <w:rStyle w:val="17"/>
          <w:rFonts w:hint="eastAsia" w:ascii="仿宋_GB2312" w:hAnsi="仿宋_GB2312" w:eastAsia="仿宋_GB2312" w:cs="仿宋_GB2312"/>
          <w:b w:val="0"/>
          <w:bCs w:val="0"/>
          <w:color w:val="auto"/>
          <w:sz w:val="32"/>
          <w:szCs w:val="32"/>
          <w:highlight w:val="none"/>
        </w:rPr>
        <w:t>（类）城乡社区管理事务（款）</w:t>
      </w:r>
      <w:r>
        <w:rPr>
          <w:rStyle w:val="17"/>
          <w:rFonts w:hint="eastAsia" w:ascii="仿宋_GB2312" w:hAnsi="仿宋_GB2312" w:eastAsia="仿宋_GB2312" w:cs="仿宋_GB2312"/>
          <w:b w:val="0"/>
          <w:bCs w:val="0"/>
          <w:color w:val="auto"/>
          <w:sz w:val="32"/>
          <w:szCs w:val="32"/>
          <w:highlight w:val="none"/>
          <w:lang w:eastAsia="zh-CN"/>
        </w:rPr>
        <w:t>住宅建设</w:t>
      </w:r>
      <w:r>
        <w:rPr>
          <w:rStyle w:val="17"/>
          <w:rFonts w:hint="eastAsia" w:ascii="仿宋_GB2312" w:hAnsi="仿宋_GB2312" w:eastAsia="仿宋_GB2312" w:cs="仿宋_GB2312"/>
          <w:b w:val="0"/>
          <w:bCs w:val="0"/>
          <w:color w:val="auto"/>
          <w:sz w:val="32"/>
          <w:szCs w:val="32"/>
          <w:highlight w:val="none"/>
        </w:rPr>
        <w:t>与</w:t>
      </w:r>
      <w:r>
        <w:rPr>
          <w:rStyle w:val="17"/>
          <w:rFonts w:hint="eastAsia" w:ascii="仿宋_GB2312" w:hAnsi="仿宋_GB2312" w:eastAsia="仿宋_GB2312" w:cs="仿宋_GB2312"/>
          <w:b w:val="0"/>
          <w:bCs w:val="0"/>
          <w:color w:val="auto"/>
          <w:sz w:val="32"/>
          <w:szCs w:val="32"/>
          <w:highlight w:val="none"/>
          <w:lang w:eastAsia="zh-CN"/>
        </w:rPr>
        <w:t>房地产市场</w:t>
      </w:r>
      <w:r>
        <w:rPr>
          <w:rStyle w:val="17"/>
          <w:rFonts w:hint="eastAsia" w:ascii="仿宋_GB2312" w:hAnsi="仿宋_GB2312" w:eastAsia="仿宋_GB2312" w:cs="仿宋_GB2312"/>
          <w:b w:val="0"/>
          <w:bCs w:val="0"/>
          <w:color w:val="auto"/>
          <w:sz w:val="32"/>
          <w:szCs w:val="32"/>
          <w:highlight w:val="none"/>
        </w:rPr>
        <w:t>监管（项）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仿宋_GB2312" w:hAnsi="仿宋_GB2312" w:eastAsia="仿宋_GB2312" w:cs="仿宋_GB2312"/>
          <w:b w:val="0"/>
          <w:bCs w:val="0"/>
          <w:color w:val="auto"/>
          <w:sz w:val="32"/>
          <w:szCs w:val="32"/>
          <w:highlight w:val="none"/>
          <w:lang w:val="en-US" w:eastAsia="zh-CN"/>
        </w:rPr>
        <w:t>22.2</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34.61</w:t>
      </w:r>
      <w:r>
        <w:rPr>
          <w:rStyle w:val="17"/>
          <w:rFonts w:hint="eastAsia" w:ascii="仿宋_GB2312" w:hAnsi="仿宋_GB2312" w:eastAsia="仿宋_GB2312" w:cs="仿宋_GB2312"/>
          <w:b w:val="0"/>
          <w:bCs w:val="0"/>
          <w:color w:val="auto"/>
          <w:sz w:val="32"/>
          <w:szCs w:val="32"/>
          <w:highlight w:val="none"/>
        </w:rPr>
        <w:t>%，决算数小于预算数的主要原因是</w:t>
      </w:r>
      <w:r>
        <w:rPr>
          <w:rStyle w:val="17"/>
          <w:rFonts w:hint="eastAsia" w:ascii="仿宋_GB2312" w:hAnsi="仿宋_GB2312" w:eastAsia="仿宋_GB2312" w:cs="仿宋_GB2312"/>
          <w:b w:val="0"/>
          <w:bCs w:val="0"/>
          <w:color w:val="auto"/>
          <w:sz w:val="32"/>
          <w:szCs w:val="32"/>
          <w:highlight w:val="none"/>
          <w:lang w:eastAsia="zh-CN"/>
        </w:rPr>
        <w:t>购房契税补贴</w:t>
      </w:r>
      <w:r>
        <w:rPr>
          <w:rStyle w:val="17"/>
          <w:rFonts w:hint="eastAsia" w:ascii="仿宋_GB2312" w:hAnsi="仿宋_GB2312" w:eastAsia="仿宋_GB2312" w:cs="仿宋_GB2312"/>
          <w:b w:val="0"/>
          <w:bCs w:val="0"/>
          <w:color w:val="auto"/>
          <w:sz w:val="32"/>
          <w:szCs w:val="32"/>
          <w:highlight w:val="none"/>
          <w:lang w:val="en-US" w:eastAsia="zh-CN"/>
        </w:rPr>
        <w:t>41.94万元转入财政局代管资金，用于支付以后年度购房契税补贴。</w:t>
      </w:r>
    </w:p>
    <w:p>
      <w:pPr>
        <w:numPr>
          <w:ilvl w:val="0"/>
          <w:numId w:val="0"/>
        </w:num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城乡社区</w:t>
      </w:r>
      <w:r>
        <w:rPr>
          <w:rStyle w:val="17"/>
          <w:rFonts w:hint="eastAsia" w:ascii="仿宋_GB2312" w:hAnsi="仿宋_GB2312" w:eastAsia="仿宋_GB2312" w:cs="仿宋_GB2312"/>
          <w:b w:val="0"/>
          <w:bCs w:val="0"/>
          <w:color w:val="auto"/>
          <w:sz w:val="32"/>
          <w:szCs w:val="32"/>
          <w:highlight w:val="none"/>
        </w:rPr>
        <w:t>（类）城乡社区管理事务（款）其他城乡社区管理事务支出（项）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仿宋_GB2312" w:hAnsi="仿宋_GB2312" w:eastAsia="仿宋_GB2312" w:cs="仿宋_GB2312"/>
          <w:b w:val="0"/>
          <w:bCs w:val="0"/>
          <w:color w:val="auto"/>
          <w:sz w:val="32"/>
          <w:szCs w:val="32"/>
          <w:highlight w:val="none"/>
          <w:lang w:val="en-US" w:eastAsia="zh-CN"/>
        </w:rPr>
        <w:t>303.68</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%，决算数等于预算数</w:t>
      </w:r>
      <w:r>
        <w:rPr>
          <w:rStyle w:val="17"/>
          <w:rFonts w:hint="eastAsia" w:ascii="仿宋_GB2312" w:hAnsi="仿宋_GB2312" w:eastAsia="仿宋_GB2312" w:cs="仿宋_GB2312"/>
          <w:b w:val="0"/>
          <w:bCs w:val="0"/>
          <w:color w:val="auto"/>
          <w:sz w:val="32"/>
          <w:szCs w:val="32"/>
          <w:highlight w:val="none"/>
          <w:lang w:eastAsia="zh-CN"/>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rPr>
        <w:t>城乡社区</w:t>
      </w:r>
      <w:r>
        <w:rPr>
          <w:rStyle w:val="17"/>
          <w:rFonts w:hint="eastAsia" w:ascii="仿宋_GB2312" w:hAnsi="仿宋_GB2312" w:eastAsia="仿宋_GB2312" w:cs="仿宋_GB2312"/>
          <w:b w:val="0"/>
          <w:bCs w:val="0"/>
          <w:color w:val="auto"/>
          <w:sz w:val="32"/>
          <w:szCs w:val="32"/>
          <w:highlight w:val="none"/>
        </w:rPr>
        <w:t>（类）其他城乡社区支出（款）其他城乡社区支出（项）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仿宋_GB2312" w:hAnsi="仿宋_GB2312" w:eastAsia="仿宋_GB2312" w:cs="仿宋_GB2312"/>
          <w:b w:val="0"/>
          <w:bCs w:val="0"/>
          <w:color w:val="auto"/>
          <w:sz w:val="32"/>
          <w:szCs w:val="32"/>
          <w:highlight w:val="none"/>
          <w:lang w:val="en-US" w:eastAsia="zh-CN"/>
        </w:rPr>
        <w:t>306.39</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%，决算数等于预算数</w:t>
      </w:r>
      <w:r>
        <w:rPr>
          <w:rStyle w:val="17"/>
          <w:rFonts w:hint="eastAsia" w:ascii="仿宋_GB2312" w:hAnsi="仿宋_GB2312" w:eastAsia="仿宋_GB2312" w:cs="仿宋_GB2312"/>
          <w:b w:val="0"/>
          <w:bCs w:val="0"/>
          <w:color w:val="auto"/>
          <w:sz w:val="32"/>
          <w:szCs w:val="32"/>
          <w:highlight w:val="none"/>
          <w:lang w:eastAsia="zh-CN"/>
        </w:rPr>
        <w:t>。</w:t>
      </w:r>
    </w:p>
    <w:p>
      <w:pPr>
        <w:numPr>
          <w:ilvl w:val="0"/>
          <w:numId w:val="0"/>
        </w:num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rPr>
        <w:t>住房保障支出</w:t>
      </w:r>
      <w:r>
        <w:rPr>
          <w:rStyle w:val="17"/>
          <w:rFonts w:hint="eastAsia" w:ascii="仿宋_GB2312" w:hAnsi="仿宋_GB2312" w:eastAsia="仿宋_GB2312" w:cs="仿宋_GB2312"/>
          <w:b w:val="0"/>
          <w:bCs w:val="0"/>
          <w:color w:val="auto"/>
          <w:sz w:val="32"/>
          <w:szCs w:val="32"/>
          <w:highlight w:val="none"/>
        </w:rPr>
        <w:t>（类）保障性安居工程支出（款）棚户区改造（项）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仿宋_GB2312" w:hAnsi="仿宋_GB2312" w:eastAsia="仿宋_GB2312" w:cs="仿宋_GB2312"/>
          <w:b w:val="0"/>
          <w:bCs w:val="0"/>
          <w:color w:val="auto"/>
          <w:sz w:val="32"/>
          <w:szCs w:val="32"/>
          <w:highlight w:val="none"/>
          <w:lang w:val="en-US" w:eastAsia="zh-CN"/>
        </w:rPr>
        <w:t>3392.62</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%，决算数等于预算数</w:t>
      </w:r>
      <w:r>
        <w:rPr>
          <w:rStyle w:val="17"/>
          <w:rFonts w:hint="eastAsia" w:ascii="仿宋_GB2312" w:hAnsi="仿宋_GB2312" w:eastAsia="仿宋_GB2312" w:cs="仿宋_GB2312"/>
          <w:b w:val="0"/>
          <w:bCs w:val="0"/>
          <w:color w:val="auto"/>
          <w:sz w:val="32"/>
          <w:szCs w:val="32"/>
          <w:highlight w:val="none"/>
          <w:lang w:eastAsia="zh-CN"/>
        </w:rPr>
        <w:t>。</w:t>
      </w:r>
    </w:p>
    <w:p>
      <w:pPr>
        <w:numPr>
          <w:ilvl w:val="0"/>
          <w:numId w:val="0"/>
        </w:num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15.</w:t>
      </w:r>
      <w:r>
        <w:rPr>
          <w:rFonts w:hint="eastAsia" w:ascii="仿宋_GB2312" w:hAnsi="仿宋_GB2312" w:eastAsia="仿宋_GB2312" w:cs="仿宋_GB2312"/>
          <w:b w:val="0"/>
          <w:bCs w:val="0"/>
          <w:color w:val="auto"/>
          <w:sz w:val="32"/>
          <w:szCs w:val="32"/>
          <w:highlight w:val="none"/>
        </w:rPr>
        <w:t>住房保障支出</w:t>
      </w:r>
      <w:r>
        <w:rPr>
          <w:rStyle w:val="17"/>
          <w:rFonts w:hint="eastAsia" w:ascii="仿宋_GB2312" w:hAnsi="仿宋_GB2312" w:eastAsia="仿宋_GB2312" w:cs="仿宋_GB2312"/>
          <w:b w:val="0"/>
          <w:bCs w:val="0"/>
          <w:color w:val="auto"/>
          <w:sz w:val="32"/>
          <w:szCs w:val="32"/>
          <w:highlight w:val="none"/>
        </w:rPr>
        <w:t>（类）保障性安居工程支出（款）</w:t>
      </w:r>
      <w:r>
        <w:rPr>
          <w:rStyle w:val="17"/>
          <w:rFonts w:hint="eastAsia" w:ascii="仿宋_GB2312" w:hAnsi="仿宋_GB2312" w:eastAsia="仿宋_GB2312" w:cs="仿宋_GB2312"/>
          <w:b w:val="0"/>
          <w:bCs w:val="0"/>
          <w:color w:val="auto"/>
          <w:sz w:val="32"/>
          <w:szCs w:val="32"/>
          <w:highlight w:val="none"/>
          <w:lang w:eastAsia="zh-CN"/>
        </w:rPr>
        <w:t>公共</w:t>
      </w:r>
      <w:r>
        <w:rPr>
          <w:rStyle w:val="17"/>
          <w:rFonts w:hint="eastAsia" w:ascii="仿宋_GB2312" w:hAnsi="仿宋_GB2312" w:eastAsia="仿宋_GB2312" w:cs="仿宋_GB2312"/>
          <w:b w:val="0"/>
          <w:bCs w:val="0"/>
          <w:color w:val="auto"/>
          <w:sz w:val="32"/>
          <w:szCs w:val="32"/>
          <w:highlight w:val="none"/>
        </w:rPr>
        <w:t>租赁</w:t>
      </w:r>
      <w:r>
        <w:rPr>
          <w:rStyle w:val="17"/>
          <w:rFonts w:hint="eastAsia" w:ascii="仿宋_GB2312" w:hAnsi="仿宋_GB2312" w:eastAsia="仿宋_GB2312" w:cs="仿宋_GB2312"/>
          <w:b w:val="0"/>
          <w:bCs w:val="0"/>
          <w:color w:val="auto"/>
          <w:sz w:val="32"/>
          <w:szCs w:val="32"/>
          <w:highlight w:val="none"/>
          <w:lang w:eastAsia="zh-CN"/>
        </w:rPr>
        <w:t>住房</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仿宋_GB2312" w:hAnsi="仿宋_GB2312" w:eastAsia="仿宋_GB2312" w:cs="仿宋_GB2312"/>
          <w:b w:val="0"/>
          <w:bCs w:val="0"/>
          <w:color w:val="auto"/>
          <w:sz w:val="32"/>
          <w:szCs w:val="32"/>
          <w:highlight w:val="none"/>
          <w:lang w:val="en-US" w:eastAsia="zh-CN"/>
        </w:rPr>
        <w:t>353.78</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%，决算数等于预算数</w:t>
      </w:r>
      <w:r>
        <w:rPr>
          <w:rStyle w:val="17"/>
          <w:rFonts w:hint="eastAsia" w:ascii="仿宋_GB2312" w:hAnsi="仿宋_GB2312" w:eastAsia="仿宋_GB2312" w:cs="仿宋_GB2312"/>
          <w:b w:val="0"/>
          <w:bCs w:val="0"/>
          <w:color w:val="auto"/>
          <w:sz w:val="32"/>
          <w:szCs w:val="32"/>
          <w:highlight w:val="none"/>
          <w:lang w:eastAsia="zh-CN"/>
        </w:rPr>
        <w:t>。</w:t>
      </w:r>
    </w:p>
    <w:p>
      <w:pPr>
        <w:spacing w:line="600" w:lineRule="exact"/>
        <w:ind w:firstLine="640" w:firstLineChars="200"/>
        <w:rPr>
          <w:rFonts w:ascii="仿宋" w:hAnsi="仿宋" w:eastAsia="仿宋"/>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16.</w:t>
      </w:r>
      <w:r>
        <w:rPr>
          <w:rFonts w:hint="eastAsia" w:ascii="仿宋_GB2312" w:hAnsi="仿宋_GB2312" w:eastAsia="仿宋_GB2312" w:cs="仿宋_GB2312"/>
          <w:b w:val="0"/>
          <w:bCs w:val="0"/>
          <w:color w:val="auto"/>
          <w:sz w:val="32"/>
          <w:szCs w:val="32"/>
          <w:highlight w:val="none"/>
        </w:rPr>
        <w:t>住房保障支出</w:t>
      </w:r>
      <w:r>
        <w:rPr>
          <w:rStyle w:val="17"/>
          <w:rFonts w:hint="eastAsia" w:ascii="仿宋_GB2312" w:hAnsi="仿宋_GB2312" w:eastAsia="仿宋_GB2312" w:cs="仿宋_GB2312"/>
          <w:b w:val="0"/>
          <w:bCs w:val="0"/>
          <w:color w:val="auto"/>
          <w:sz w:val="32"/>
          <w:szCs w:val="32"/>
          <w:highlight w:val="none"/>
        </w:rPr>
        <w:t>（类）住房改革支出（款）住房公积金（项）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仿宋_GB2312" w:hAnsi="仿宋_GB2312" w:eastAsia="仿宋_GB2312" w:cs="仿宋_GB2312"/>
          <w:b w:val="0"/>
          <w:bCs w:val="0"/>
          <w:color w:val="auto"/>
          <w:sz w:val="32"/>
          <w:szCs w:val="32"/>
          <w:highlight w:val="none"/>
          <w:lang w:val="en-US" w:eastAsia="zh-CN"/>
        </w:rPr>
        <w:t>119.67</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%，决算数等于预算数</w:t>
      </w:r>
      <w:r>
        <w:rPr>
          <w:rStyle w:val="17"/>
          <w:rFonts w:hint="eastAsia" w:ascii="仿宋_GB2312" w:hAnsi="仿宋_GB2312" w:eastAsia="仿宋_GB2312" w:cs="仿宋_GB2312"/>
          <w:b w:val="0"/>
          <w:bCs w:val="0"/>
          <w:color w:val="auto"/>
          <w:sz w:val="32"/>
          <w:szCs w:val="32"/>
          <w:highlight w:val="none"/>
          <w:lang w:eastAsia="zh-CN"/>
        </w:rPr>
        <w:t>。</w:t>
      </w:r>
    </w:p>
    <w:p>
      <w:pPr>
        <w:numPr>
          <w:ilvl w:val="0"/>
          <w:numId w:val="0"/>
        </w:numPr>
        <w:spacing w:line="60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Style w:val="17"/>
          <w:rFonts w:hint="eastAsia" w:ascii="仿宋_GB2312" w:hAnsi="仿宋_GB2312" w:eastAsia="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rPr>
        <w:t>灾害防治及应急管理</w:t>
      </w:r>
      <w:r>
        <w:rPr>
          <w:rStyle w:val="17"/>
          <w:rFonts w:hint="eastAsia" w:ascii="仿宋_GB2312" w:hAnsi="仿宋_GB2312" w:eastAsia="仿宋_GB2312" w:cs="仿宋_GB2312"/>
          <w:b w:val="0"/>
          <w:bCs w:val="0"/>
          <w:color w:val="auto"/>
          <w:sz w:val="32"/>
          <w:szCs w:val="32"/>
          <w:highlight w:val="none"/>
        </w:rPr>
        <w:t>（类）</w:t>
      </w:r>
      <w:r>
        <w:rPr>
          <w:rStyle w:val="17"/>
          <w:rFonts w:hint="eastAsia" w:ascii="仿宋_GB2312" w:hAnsi="仿宋_GB2312" w:eastAsia="仿宋_GB2312" w:cs="仿宋_GB2312"/>
          <w:b w:val="0"/>
          <w:bCs w:val="0"/>
          <w:color w:val="auto"/>
          <w:sz w:val="32"/>
          <w:szCs w:val="32"/>
          <w:highlight w:val="none"/>
          <w:lang w:eastAsia="zh-CN"/>
        </w:rPr>
        <w:t>自然</w:t>
      </w:r>
      <w:r>
        <w:rPr>
          <w:rFonts w:hint="eastAsia" w:ascii="仿宋_GB2312" w:hAnsi="仿宋_GB2312" w:eastAsia="仿宋_GB2312" w:cs="仿宋_GB2312"/>
          <w:b w:val="0"/>
          <w:bCs w:val="0"/>
          <w:color w:val="auto"/>
          <w:sz w:val="32"/>
          <w:szCs w:val="32"/>
          <w:highlight w:val="none"/>
        </w:rPr>
        <w:t>灾害防治</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其他自然灾害防治支出</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：支出决算为</w:t>
      </w:r>
      <w:r>
        <w:rPr>
          <w:rStyle w:val="17"/>
          <w:rFonts w:hint="eastAsia" w:ascii="仿宋_GB2312" w:hAnsi="仿宋_GB2312" w:eastAsia="仿宋_GB2312" w:cs="仿宋_GB2312"/>
          <w:b w:val="0"/>
          <w:bCs w:val="0"/>
          <w:color w:val="auto"/>
          <w:sz w:val="32"/>
          <w:szCs w:val="32"/>
          <w:highlight w:val="none"/>
          <w:lang w:val="en-US" w:eastAsia="zh-CN"/>
        </w:rPr>
        <w:t>25万元，</w:t>
      </w:r>
      <w:r>
        <w:rPr>
          <w:rStyle w:val="17"/>
          <w:rFonts w:hint="eastAsia" w:ascii="仿宋_GB2312" w:hAnsi="仿宋_GB2312" w:eastAsia="仿宋_GB2312" w:cs="仿宋_GB2312"/>
          <w:b w:val="0"/>
          <w:bCs w:val="0"/>
          <w:color w:val="auto"/>
          <w:sz w:val="32"/>
          <w:szCs w:val="32"/>
          <w:highlight w:val="none"/>
        </w:rPr>
        <w:t>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%，决算数等于预算数</w:t>
      </w:r>
      <w:r>
        <w:rPr>
          <w:rStyle w:val="17"/>
          <w:rFonts w:hint="eastAsia" w:ascii="仿宋_GB2312" w:hAnsi="仿宋_GB2312" w:eastAsia="仿宋_GB2312" w:cs="仿宋_GB2312"/>
          <w:b w:val="0"/>
          <w:bCs w:val="0"/>
          <w:color w:val="auto"/>
          <w:sz w:val="32"/>
          <w:szCs w:val="32"/>
          <w:highlight w:val="none"/>
          <w:lang w:eastAsia="zh-CN"/>
        </w:rPr>
        <w:t>。</w:t>
      </w:r>
    </w:p>
    <w:p>
      <w:pPr>
        <w:numPr>
          <w:ilvl w:val="0"/>
          <w:numId w:val="0"/>
        </w:numPr>
        <w:spacing w:line="600" w:lineRule="exact"/>
        <w:ind w:firstLine="640" w:firstLineChars="200"/>
        <w:rPr>
          <w:rFonts w:hint="eastAsia" w:ascii="仿宋" w:hAnsi="仿宋" w:eastAsia="仿宋"/>
          <w:b/>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18.</w:t>
      </w:r>
      <w:r>
        <w:rPr>
          <w:rFonts w:hint="eastAsia" w:ascii="仿宋_GB2312" w:hAnsi="仿宋_GB2312" w:eastAsia="仿宋_GB2312" w:cs="仿宋_GB2312"/>
          <w:b w:val="0"/>
          <w:bCs w:val="0"/>
          <w:color w:val="auto"/>
          <w:sz w:val="32"/>
          <w:szCs w:val="32"/>
          <w:highlight w:val="none"/>
          <w:lang w:eastAsia="zh-CN"/>
        </w:rPr>
        <w:t>其他支出</w:t>
      </w:r>
      <w:r>
        <w:rPr>
          <w:rStyle w:val="17"/>
          <w:rFonts w:hint="eastAsia" w:ascii="仿宋_GB2312" w:hAnsi="仿宋_GB2312" w:eastAsia="仿宋_GB2312" w:cs="仿宋_GB2312"/>
          <w:b w:val="0"/>
          <w:bCs w:val="0"/>
          <w:color w:val="auto"/>
          <w:sz w:val="32"/>
          <w:szCs w:val="32"/>
          <w:highlight w:val="none"/>
        </w:rPr>
        <w:t>（类）</w:t>
      </w:r>
      <w:r>
        <w:rPr>
          <w:rFonts w:hint="eastAsia" w:ascii="仿宋_GB2312" w:hAnsi="仿宋_GB2312" w:eastAsia="仿宋_GB2312" w:cs="仿宋_GB2312"/>
          <w:b w:val="0"/>
          <w:bCs w:val="0"/>
          <w:color w:val="auto"/>
          <w:sz w:val="32"/>
          <w:szCs w:val="32"/>
          <w:highlight w:val="none"/>
          <w:lang w:eastAsia="zh-CN"/>
        </w:rPr>
        <w:t>其他支出</w:t>
      </w:r>
      <w:r>
        <w:rPr>
          <w:rStyle w:val="17"/>
          <w:rFonts w:hint="eastAsia" w:ascii="仿宋_GB2312" w:hAnsi="仿宋_GB2312" w:eastAsia="仿宋_GB2312" w:cs="仿宋_GB2312"/>
          <w:b w:val="0"/>
          <w:bCs w:val="0"/>
          <w:color w:val="auto"/>
          <w:sz w:val="32"/>
          <w:szCs w:val="32"/>
          <w:highlight w:val="none"/>
        </w:rPr>
        <w:t>（款）</w:t>
      </w:r>
      <w:r>
        <w:rPr>
          <w:rFonts w:hint="eastAsia" w:ascii="仿宋_GB2312" w:hAnsi="仿宋_GB2312" w:eastAsia="仿宋_GB2312" w:cs="仿宋_GB2312"/>
          <w:b w:val="0"/>
          <w:bCs w:val="0"/>
          <w:color w:val="auto"/>
          <w:sz w:val="32"/>
          <w:szCs w:val="32"/>
          <w:highlight w:val="none"/>
          <w:lang w:eastAsia="zh-CN"/>
        </w:rPr>
        <w:t>其他支出</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支出决算为</w:t>
      </w:r>
      <w:r>
        <w:rPr>
          <w:rStyle w:val="17"/>
          <w:rFonts w:hint="eastAsia" w:ascii="仿宋_GB2312" w:hAnsi="仿宋_GB2312" w:eastAsia="仿宋_GB2312" w:cs="仿宋_GB2312"/>
          <w:b w:val="0"/>
          <w:bCs w:val="0"/>
          <w:color w:val="auto"/>
          <w:sz w:val="32"/>
          <w:szCs w:val="32"/>
          <w:highlight w:val="none"/>
          <w:lang w:val="en-US" w:eastAsia="zh-CN"/>
        </w:rPr>
        <w:t>30</w:t>
      </w:r>
      <w:r>
        <w:rPr>
          <w:rStyle w:val="17"/>
          <w:rFonts w:hint="eastAsia" w:ascii="仿宋_GB2312" w:hAnsi="仿宋_GB2312" w:eastAsia="仿宋_GB2312" w:cs="仿宋_GB2312"/>
          <w:b w:val="0"/>
          <w:bCs w:val="0"/>
          <w:color w:val="auto"/>
          <w:sz w:val="32"/>
          <w:szCs w:val="32"/>
          <w:highlight w:val="none"/>
        </w:rPr>
        <w:t>万元，完成预算</w:t>
      </w:r>
      <w:r>
        <w:rPr>
          <w:rStyle w:val="17"/>
          <w:rFonts w:hint="eastAsia" w:ascii="仿宋_GB2312" w:hAnsi="仿宋_GB2312" w:eastAsia="仿宋_GB2312" w:cs="仿宋_GB2312"/>
          <w:b w:val="0"/>
          <w:bCs w:val="0"/>
          <w:color w:val="auto"/>
          <w:sz w:val="32"/>
          <w:szCs w:val="32"/>
          <w:highlight w:val="none"/>
          <w:lang w:val="en-US" w:eastAsia="zh-CN"/>
        </w:rPr>
        <w:t>100</w:t>
      </w:r>
      <w:r>
        <w:rPr>
          <w:rStyle w:val="17"/>
          <w:rFonts w:hint="eastAsia" w:ascii="仿宋_GB2312" w:hAnsi="仿宋_GB2312" w:eastAsia="仿宋_GB2312" w:cs="仿宋_GB2312"/>
          <w:b w:val="0"/>
          <w:bCs w:val="0"/>
          <w:color w:val="auto"/>
          <w:sz w:val="32"/>
          <w:szCs w:val="32"/>
          <w:highlight w:val="none"/>
        </w:rPr>
        <w:t>%，决算数等于预算数</w:t>
      </w:r>
      <w:r>
        <w:rPr>
          <w:rStyle w:val="17"/>
          <w:rFonts w:hint="eastAsia" w:ascii="仿宋_GB2312" w:hAnsi="仿宋_GB2312" w:eastAsia="仿宋_GB2312" w:cs="仿宋_GB2312"/>
          <w:b w:val="0"/>
          <w:bCs w:val="0"/>
          <w:color w:val="auto"/>
          <w:sz w:val="32"/>
          <w:szCs w:val="32"/>
          <w:highlight w:val="none"/>
          <w:lang w:eastAsia="zh-CN"/>
        </w:rPr>
        <w:t>。</w:t>
      </w:r>
    </w:p>
    <w:p>
      <w:pPr>
        <w:tabs>
          <w:tab w:val="right" w:pos="8306"/>
        </w:tabs>
        <w:spacing w:line="600" w:lineRule="exact"/>
        <w:ind w:firstLine="640"/>
        <w:outlineLvl w:val="1"/>
        <w:rPr>
          <w:rStyle w:val="20"/>
          <w:color w:val="auto"/>
          <w:highlight w:val="none"/>
        </w:rPr>
      </w:pPr>
      <w:bookmarkStart w:id="76" w:name="_Toc26998"/>
      <w:bookmarkStart w:id="77" w:name="_Toc15377214"/>
      <w:bookmarkStart w:id="78" w:name="_Toc23538"/>
      <w:bookmarkStart w:id="79" w:name="_Toc15396608"/>
      <w:r>
        <w:rPr>
          <w:rFonts w:hint="eastAsia" w:ascii="黑体" w:hAnsi="黑体" w:eastAsia="黑体" w:cs="Times New Roman"/>
          <w:color w:val="auto"/>
          <w:sz w:val="32"/>
          <w:szCs w:val="32"/>
          <w:highlight w:val="none"/>
        </w:rPr>
        <w:t>六、一般公共预算财政拨款基本支出决算情况说明</w:t>
      </w:r>
      <w:bookmarkEnd w:id="76"/>
      <w:bookmarkEnd w:id="77"/>
      <w:bookmarkEnd w:id="78"/>
      <w:bookmarkEnd w:id="79"/>
      <w:r>
        <w:rPr>
          <w:rStyle w:val="20"/>
          <w:rFonts w:ascii="黑体" w:hAnsi="黑体" w:eastAsia="黑体"/>
          <w:b w:val="0"/>
          <w:color w:val="auto"/>
          <w:highlight w:val="none"/>
        </w:rPr>
        <w:tab/>
      </w:r>
    </w:p>
    <w:p>
      <w:pPr>
        <w:numPr>
          <w:ilvl w:val="0"/>
          <w:numId w:val="0"/>
        </w:numPr>
        <w:spacing w:line="600" w:lineRule="exact"/>
        <w:ind w:firstLine="640"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rPr>
        <w:t>20</w:t>
      </w:r>
      <w:r>
        <w:rPr>
          <w:rStyle w:val="17"/>
          <w:rFonts w:hint="eastAsia" w:ascii="仿宋_GB2312" w:hAnsi="仿宋_GB2312" w:eastAsia="仿宋_GB2312" w:cs="仿宋_GB2312"/>
          <w:b w:val="0"/>
          <w:bCs/>
          <w:color w:val="auto"/>
          <w:sz w:val="32"/>
          <w:szCs w:val="32"/>
          <w:highlight w:val="none"/>
          <w:lang w:val="en-US" w:eastAsia="zh-CN"/>
        </w:rPr>
        <w:t>22</w:t>
      </w:r>
      <w:r>
        <w:rPr>
          <w:rStyle w:val="17"/>
          <w:rFonts w:hint="eastAsia" w:ascii="仿宋_GB2312" w:hAnsi="仿宋_GB2312" w:eastAsia="仿宋_GB2312" w:cs="仿宋_GB2312"/>
          <w:b w:val="0"/>
          <w:bCs/>
          <w:color w:val="auto"/>
          <w:sz w:val="32"/>
          <w:szCs w:val="32"/>
          <w:highlight w:val="none"/>
        </w:rPr>
        <w:t>年一般公共预算财政拨款基本支出</w:t>
      </w:r>
      <w:r>
        <w:rPr>
          <w:rStyle w:val="17"/>
          <w:rFonts w:hint="eastAsia" w:ascii="仿宋_GB2312" w:hAnsi="仿宋_GB2312" w:eastAsia="仿宋_GB2312" w:cs="仿宋_GB2312"/>
          <w:b w:val="0"/>
          <w:bCs/>
          <w:color w:val="auto"/>
          <w:sz w:val="32"/>
          <w:szCs w:val="32"/>
          <w:highlight w:val="none"/>
          <w:lang w:val="en-US" w:eastAsia="zh-CN"/>
        </w:rPr>
        <w:t>1768.42</w:t>
      </w:r>
      <w:r>
        <w:rPr>
          <w:rStyle w:val="17"/>
          <w:rFonts w:hint="eastAsia" w:ascii="仿宋_GB2312" w:hAnsi="仿宋_GB2312" w:eastAsia="仿宋_GB2312" w:cs="仿宋_GB2312"/>
          <w:b w:val="0"/>
          <w:bCs/>
          <w:color w:val="auto"/>
          <w:sz w:val="32"/>
          <w:szCs w:val="32"/>
          <w:highlight w:val="none"/>
        </w:rPr>
        <w:t>万元，其中：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 w:hAnsi="仿宋" w:eastAsia="仿宋"/>
          <w:b/>
          <w:color w:val="auto"/>
          <w:sz w:val="32"/>
          <w:szCs w:val="32"/>
          <w:highlight w:val="none"/>
        </w:rPr>
      </w:pPr>
      <w:r>
        <w:rPr>
          <w:rStyle w:val="17"/>
          <w:rFonts w:hint="eastAsia" w:ascii="仿宋_GB2312" w:hAnsi="仿宋_GB2312" w:eastAsia="仿宋_GB2312" w:cs="仿宋_GB2312"/>
          <w:b w:val="0"/>
          <w:bCs/>
          <w:color w:val="auto"/>
          <w:sz w:val="32"/>
          <w:szCs w:val="32"/>
          <w:highlight w:val="none"/>
        </w:rPr>
        <w:t>人员经费</w:t>
      </w:r>
      <w:r>
        <w:rPr>
          <w:rStyle w:val="17"/>
          <w:rFonts w:hint="eastAsia" w:ascii="仿宋_GB2312" w:hAnsi="仿宋_GB2312" w:eastAsia="仿宋_GB2312" w:cs="仿宋_GB2312"/>
          <w:b w:val="0"/>
          <w:bCs/>
          <w:color w:val="auto"/>
          <w:sz w:val="32"/>
          <w:szCs w:val="32"/>
          <w:highlight w:val="none"/>
          <w:lang w:val="en-US" w:eastAsia="zh-CN"/>
        </w:rPr>
        <w:t>1542.79</w:t>
      </w:r>
      <w:r>
        <w:rPr>
          <w:rStyle w:val="17"/>
          <w:rFonts w:hint="eastAsia" w:ascii="仿宋_GB2312" w:hAnsi="仿宋_GB2312" w:eastAsia="仿宋_GB2312" w:cs="仿宋_GB2312"/>
          <w:b w:val="0"/>
          <w:bCs/>
          <w:color w:val="auto"/>
          <w:sz w:val="32"/>
          <w:szCs w:val="32"/>
          <w:highlight w:val="none"/>
        </w:rPr>
        <w:t>万元，主要包括：基本工资、津贴补贴、奖金、绩效工资、机关事业单位基本养老保险缴费、职业年金缴费、</w:t>
      </w:r>
      <w:r>
        <w:rPr>
          <w:rStyle w:val="17"/>
          <w:rFonts w:hint="eastAsia" w:ascii="仿宋_GB2312" w:hAnsi="仿宋_GB2312" w:eastAsia="仿宋_GB2312" w:cs="仿宋_GB2312"/>
          <w:b w:val="0"/>
          <w:bCs/>
          <w:color w:val="auto"/>
          <w:sz w:val="32"/>
          <w:szCs w:val="32"/>
          <w:highlight w:val="none"/>
          <w:lang w:eastAsia="zh-CN"/>
        </w:rPr>
        <w:t>职工基本医疗保险缴费、</w:t>
      </w:r>
      <w:r>
        <w:rPr>
          <w:rStyle w:val="17"/>
          <w:rFonts w:hint="eastAsia" w:ascii="仿宋_GB2312" w:hAnsi="仿宋_GB2312" w:eastAsia="仿宋_GB2312" w:cs="仿宋_GB2312"/>
          <w:b w:val="0"/>
          <w:bCs/>
          <w:color w:val="auto"/>
          <w:sz w:val="32"/>
          <w:szCs w:val="32"/>
          <w:highlight w:val="none"/>
        </w:rPr>
        <w:t>其他社会保障缴费、</w:t>
      </w:r>
      <w:r>
        <w:rPr>
          <w:rStyle w:val="17"/>
          <w:rFonts w:hint="eastAsia" w:ascii="仿宋_GB2312" w:hAnsi="仿宋_GB2312" w:eastAsia="仿宋_GB2312" w:cs="仿宋_GB2312"/>
          <w:b w:val="0"/>
          <w:bCs/>
          <w:color w:val="auto"/>
          <w:sz w:val="32"/>
          <w:szCs w:val="32"/>
          <w:highlight w:val="none"/>
          <w:lang w:eastAsia="zh-CN"/>
        </w:rPr>
        <w:t>住房公积金、</w:t>
      </w:r>
      <w:r>
        <w:rPr>
          <w:rStyle w:val="17"/>
          <w:rFonts w:hint="eastAsia" w:ascii="仿宋_GB2312" w:hAnsi="仿宋_GB2312" w:eastAsia="仿宋_GB2312" w:cs="仿宋_GB2312"/>
          <w:b w:val="0"/>
          <w:bCs/>
          <w:color w:val="auto"/>
          <w:sz w:val="32"/>
          <w:szCs w:val="32"/>
          <w:highlight w:val="none"/>
        </w:rPr>
        <w:t>其他工资福利支出、抚恤金、生活补助、奖励金、其他对个人和家庭的补助支出。</w:t>
      </w:r>
      <w:r>
        <w:rPr>
          <w:rStyle w:val="17"/>
          <w:rFonts w:hint="eastAsia" w:ascii="仿宋_GB2312" w:hAnsi="仿宋_GB2312" w:eastAsia="仿宋_GB2312" w:cs="仿宋_GB2312"/>
          <w:b w:val="0"/>
          <w:bCs/>
          <w:color w:val="auto"/>
          <w:sz w:val="32"/>
          <w:szCs w:val="32"/>
          <w:highlight w:val="none"/>
        </w:rPr>
        <w:br w:type="textWrapping"/>
      </w:r>
      <w:r>
        <w:rPr>
          <w:rStyle w:val="17"/>
          <w:rFonts w:hint="eastAsia" w:ascii="仿宋_GB2312" w:hAnsi="仿宋_GB2312" w:eastAsia="仿宋_GB2312" w:cs="仿宋_GB2312"/>
          <w:b w:val="0"/>
          <w:bCs/>
          <w:color w:val="auto"/>
          <w:sz w:val="32"/>
          <w:szCs w:val="32"/>
          <w:highlight w:val="none"/>
        </w:rPr>
        <w:t>　　公用经费</w:t>
      </w:r>
      <w:r>
        <w:rPr>
          <w:rStyle w:val="17"/>
          <w:rFonts w:hint="eastAsia" w:ascii="仿宋_GB2312" w:hAnsi="仿宋_GB2312" w:eastAsia="仿宋_GB2312" w:cs="仿宋_GB2312"/>
          <w:b w:val="0"/>
          <w:bCs/>
          <w:color w:val="auto"/>
          <w:sz w:val="32"/>
          <w:szCs w:val="32"/>
          <w:highlight w:val="none"/>
          <w:lang w:val="en-US" w:eastAsia="zh-CN"/>
        </w:rPr>
        <w:t>225.63</w:t>
      </w:r>
      <w:r>
        <w:rPr>
          <w:rStyle w:val="17"/>
          <w:rFonts w:hint="eastAsia" w:ascii="仿宋_GB2312" w:hAnsi="仿宋_GB2312" w:eastAsia="仿宋_GB2312" w:cs="仿宋_GB2312"/>
          <w:b w:val="0"/>
          <w:bCs/>
          <w:color w:val="auto"/>
          <w:sz w:val="32"/>
          <w:szCs w:val="32"/>
          <w:highlight w:val="none"/>
        </w:rPr>
        <w:t>万元，主要包括：办公费、印刷费、咨询费、手续费、水费、电费、邮电费、物业管理费、差旅费、维修（护）费、租赁费、会议费、培训费、公务接待费、劳务费、工会经费、福利费、公务用车运行维护费、其他交通费、其他商品和服务支出</w:t>
      </w:r>
      <w:r>
        <w:rPr>
          <w:rStyle w:val="17"/>
          <w:rFonts w:hint="eastAsia" w:ascii="仿宋_GB2312" w:hAnsi="仿宋_GB2312" w:eastAsia="仿宋_GB2312" w:cs="仿宋_GB2312"/>
          <w:b w:val="0"/>
          <w:bCs/>
          <w:color w:val="auto"/>
          <w:sz w:val="32"/>
          <w:szCs w:val="32"/>
          <w:highlight w:val="none"/>
          <w:lang w:eastAsia="zh-CN"/>
        </w:rPr>
        <w:t>、办公设备购置</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Fonts w:hint="eastAsia" w:ascii="黑体" w:hAnsi="黑体" w:eastAsia="黑体" w:cs="Times New Roman"/>
          <w:color w:val="auto"/>
          <w:sz w:val="32"/>
          <w:szCs w:val="32"/>
          <w:highlight w:val="none"/>
        </w:rPr>
      </w:pPr>
      <w:bookmarkStart w:id="80" w:name="_Toc15377215"/>
      <w:bookmarkStart w:id="81" w:name="_Toc15396609"/>
      <w:bookmarkStart w:id="82" w:name="_Toc21831"/>
      <w:bookmarkStart w:id="83" w:name="_Toc24413"/>
      <w:r>
        <w:rPr>
          <w:rFonts w:hint="eastAsia" w:ascii="黑体" w:hAnsi="黑体" w:eastAsia="黑体" w:cs="Times New Roman"/>
          <w:color w:val="auto"/>
          <w:sz w:val="32"/>
          <w:szCs w:val="32"/>
          <w:highlight w:val="none"/>
        </w:rPr>
        <w:t>七、财政拨款“三公”经费支出决算情况说明</w:t>
      </w:r>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color w:val="auto"/>
          <w:kern w:val="2"/>
          <w:sz w:val="32"/>
          <w:szCs w:val="32"/>
          <w:lang w:val="en-US" w:eastAsia="zh-CN" w:bidi="ar-SA"/>
        </w:rPr>
      </w:pPr>
      <w:bookmarkStart w:id="84" w:name="_Toc15377216"/>
      <w:r>
        <w:rPr>
          <w:rFonts w:hint="eastAsia" w:ascii="楷体_GB2312" w:hAnsi="楷体_GB2312" w:eastAsia="楷体_GB2312" w:cs="楷体_GB2312"/>
          <w:b/>
          <w:bCs/>
          <w:color w:val="auto"/>
          <w:kern w:val="2"/>
          <w:sz w:val="32"/>
          <w:szCs w:val="32"/>
          <w:lang w:val="en-US" w:eastAsia="zh-CN" w:bidi="ar-SA"/>
        </w:rPr>
        <w:t>（一）“三公”经费财政拨款支出决算总体情况说明</w:t>
      </w:r>
      <w:bookmarkEnd w:id="84"/>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auto"/>
          <w:sz w:val="32"/>
          <w:szCs w:val="32"/>
          <w:highlight w:val="none"/>
        </w:rPr>
      </w:pPr>
      <w:r>
        <w:rPr>
          <w:rStyle w:val="17"/>
          <w:rFonts w:hint="eastAsia" w:ascii="仿宋_GB2312" w:hAnsi="仿宋_GB2312" w:eastAsia="仿宋_GB2312" w:cs="仿宋_GB2312"/>
          <w:b w:val="0"/>
          <w:bCs/>
          <w:color w:val="auto"/>
          <w:sz w:val="32"/>
          <w:szCs w:val="32"/>
          <w:highlight w:val="none"/>
        </w:rPr>
        <w:t>20</w:t>
      </w:r>
      <w:r>
        <w:rPr>
          <w:rStyle w:val="17"/>
          <w:rFonts w:hint="eastAsia" w:ascii="仿宋_GB2312" w:hAnsi="仿宋_GB2312" w:eastAsia="仿宋_GB2312" w:cs="仿宋_GB2312"/>
          <w:b w:val="0"/>
          <w:bCs/>
          <w:color w:val="auto"/>
          <w:sz w:val="32"/>
          <w:szCs w:val="32"/>
          <w:highlight w:val="none"/>
          <w:lang w:val="en-US" w:eastAsia="zh-CN"/>
        </w:rPr>
        <w:t>22</w:t>
      </w:r>
      <w:r>
        <w:rPr>
          <w:rStyle w:val="17"/>
          <w:rFonts w:hint="eastAsia" w:ascii="仿宋_GB2312" w:hAnsi="仿宋_GB2312" w:eastAsia="仿宋_GB2312" w:cs="仿宋_GB2312"/>
          <w:b w:val="0"/>
          <w:bCs/>
          <w:color w:val="auto"/>
          <w:sz w:val="32"/>
          <w:szCs w:val="32"/>
          <w:highlight w:val="none"/>
        </w:rPr>
        <w:t>年“三公”经费财政拨款支出决算为</w:t>
      </w:r>
      <w:r>
        <w:rPr>
          <w:rStyle w:val="17"/>
          <w:rFonts w:hint="eastAsia" w:ascii="仿宋_GB2312" w:hAnsi="仿宋_GB2312" w:eastAsia="仿宋_GB2312" w:cs="仿宋_GB2312"/>
          <w:b w:val="0"/>
          <w:bCs/>
          <w:color w:val="auto"/>
          <w:sz w:val="32"/>
          <w:szCs w:val="32"/>
          <w:highlight w:val="none"/>
          <w:lang w:val="en-US" w:eastAsia="zh-CN"/>
        </w:rPr>
        <w:t>11.11</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较上年增加</w:t>
      </w:r>
      <w:r>
        <w:rPr>
          <w:rStyle w:val="17"/>
          <w:rFonts w:hint="eastAsia" w:ascii="仿宋_GB2312" w:hAnsi="仿宋_GB2312" w:eastAsia="仿宋_GB2312" w:cs="仿宋_GB2312"/>
          <w:b w:val="0"/>
          <w:bCs/>
          <w:color w:val="auto"/>
          <w:sz w:val="32"/>
          <w:szCs w:val="32"/>
          <w:highlight w:val="none"/>
          <w:lang w:val="en-US" w:eastAsia="zh-CN"/>
        </w:rPr>
        <w:t>3.13万元，增长39.2%。</w:t>
      </w:r>
      <w:r>
        <w:rPr>
          <w:rStyle w:val="17"/>
          <w:rFonts w:hint="eastAsia" w:ascii="仿宋_GB2312" w:hAnsi="仿宋_GB2312" w:eastAsia="仿宋_GB2312" w:cs="仿宋_GB2312"/>
          <w:b w:val="0"/>
          <w:bCs/>
          <w:color w:val="auto"/>
          <w:sz w:val="32"/>
          <w:szCs w:val="32"/>
          <w:highlight w:val="none"/>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color w:val="auto"/>
          <w:kern w:val="2"/>
          <w:sz w:val="32"/>
          <w:szCs w:val="32"/>
          <w:lang w:val="en-US" w:eastAsia="zh-CN" w:bidi="ar-SA"/>
        </w:rPr>
      </w:pPr>
      <w:bookmarkStart w:id="85" w:name="_Toc15377217"/>
      <w:r>
        <w:rPr>
          <w:rFonts w:hint="eastAsia" w:ascii="楷体_GB2312" w:hAnsi="楷体_GB2312" w:eastAsia="楷体_GB2312" w:cs="楷体_GB2312"/>
          <w:b/>
          <w:bCs/>
          <w:color w:val="auto"/>
          <w:kern w:val="2"/>
          <w:sz w:val="32"/>
          <w:szCs w:val="32"/>
          <w:lang w:val="en-US" w:eastAsia="zh-CN" w:bidi="ar-SA"/>
        </w:rPr>
        <w:t>（二）“三公”经费财政拨款支出决算具体情况说明</w:t>
      </w:r>
      <w:bookmarkEnd w:id="85"/>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auto"/>
          <w:sz w:val="32"/>
          <w:szCs w:val="32"/>
          <w:highlight w:val="none"/>
        </w:rPr>
      </w:pPr>
      <w:r>
        <w:rPr>
          <w:rStyle w:val="17"/>
          <w:rFonts w:hint="eastAsia" w:ascii="仿宋_GB2312" w:hAnsi="仿宋_GB2312" w:eastAsia="仿宋_GB2312" w:cs="仿宋_GB2312"/>
          <w:b w:val="0"/>
          <w:bCs/>
          <w:color w:val="auto"/>
          <w:sz w:val="32"/>
          <w:szCs w:val="32"/>
          <w:highlight w:val="none"/>
        </w:rPr>
        <w:t>20</w:t>
      </w:r>
      <w:r>
        <w:rPr>
          <w:rStyle w:val="17"/>
          <w:rFonts w:hint="eastAsia" w:ascii="仿宋_GB2312" w:hAnsi="仿宋_GB2312" w:eastAsia="仿宋_GB2312" w:cs="仿宋_GB2312"/>
          <w:b w:val="0"/>
          <w:bCs/>
          <w:color w:val="auto"/>
          <w:sz w:val="32"/>
          <w:szCs w:val="32"/>
          <w:highlight w:val="none"/>
          <w:lang w:val="en-US" w:eastAsia="zh-CN"/>
        </w:rPr>
        <w:t>22</w:t>
      </w:r>
      <w:r>
        <w:rPr>
          <w:rStyle w:val="17"/>
          <w:rFonts w:hint="eastAsia" w:ascii="仿宋_GB2312" w:hAnsi="仿宋_GB2312" w:eastAsia="仿宋_GB2312" w:cs="仿宋_GB2312"/>
          <w:b w:val="0"/>
          <w:bCs/>
          <w:color w:val="auto"/>
          <w:sz w:val="32"/>
          <w:szCs w:val="32"/>
          <w:highlight w:val="none"/>
        </w:rPr>
        <w:t>年“三公”经费财政拨款支出决算中，因公出国（境）费支出决算</w:t>
      </w:r>
      <w:r>
        <w:rPr>
          <w:rStyle w:val="17"/>
          <w:rFonts w:hint="eastAsia" w:ascii="仿宋_GB2312" w:hAnsi="仿宋_GB2312" w:eastAsia="仿宋_GB2312" w:cs="仿宋_GB2312"/>
          <w:b w:val="0"/>
          <w:bCs/>
          <w:color w:val="auto"/>
          <w:sz w:val="32"/>
          <w:szCs w:val="32"/>
          <w:highlight w:val="none"/>
          <w:lang w:val="en-US" w:eastAsia="zh-CN"/>
        </w:rPr>
        <w:t>0</w:t>
      </w:r>
      <w:r>
        <w:rPr>
          <w:rStyle w:val="17"/>
          <w:rFonts w:hint="eastAsia" w:ascii="仿宋_GB2312" w:hAnsi="仿宋_GB2312" w:eastAsia="仿宋_GB2312" w:cs="仿宋_GB2312"/>
          <w:b w:val="0"/>
          <w:bCs/>
          <w:color w:val="auto"/>
          <w:sz w:val="32"/>
          <w:szCs w:val="32"/>
          <w:highlight w:val="none"/>
        </w:rPr>
        <w:t>万元，占</w:t>
      </w:r>
      <w:r>
        <w:rPr>
          <w:rStyle w:val="17"/>
          <w:rFonts w:hint="eastAsia" w:ascii="仿宋_GB2312" w:hAnsi="仿宋_GB2312" w:eastAsia="仿宋_GB2312" w:cs="仿宋_GB2312"/>
          <w:b w:val="0"/>
          <w:bCs/>
          <w:color w:val="auto"/>
          <w:sz w:val="32"/>
          <w:szCs w:val="32"/>
          <w:highlight w:val="none"/>
          <w:lang w:val="en-US" w:eastAsia="zh-CN"/>
        </w:rPr>
        <w:t>0</w:t>
      </w:r>
      <w:r>
        <w:rPr>
          <w:rStyle w:val="17"/>
          <w:rFonts w:hint="eastAsia" w:ascii="仿宋_GB2312" w:hAnsi="仿宋_GB2312" w:eastAsia="仿宋_GB2312" w:cs="仿宋_GB2312"/>
          <w:b w:val="0"/>
          <w:bCs/>
          <w:color w:val="auto"/>
          <w:sz w:val="32"/>
          <w:szCs w:val="32"/>
          <w:highlight w:val="none"/>
        </w:rPr>
        <w:t>%；公务用车购置及运行维护费支出决算</w:t>
      </w:r>
      <w:r>
        <w:rPr>
          <w:rStyle w:val="17"/>
          <w:rFonts w:hint="eastAsia" w:ascii="仿宋_GB2312" w:hAnsi="仿宋_GB2312" w:eastAsia="仿宋_GB2312" w:cs="仿宋_GB2312"/>
          <w:b w:val="0"/>
          <w:bCs/>
          <w:color w:val="auto"/>
          <w:sz w:val="32"/>
          <w:szCs w:val="32"/>
          <w:highlight w:val="none"/>
          <w:lang w:val="en-US" w:eastAsia="zh-CN"/>
        </w:rPr>
        <w:t>6.78</w:t>
      </w:r>
      <w:r>
        <w:rPr>
          <w:rStyle w:val="17"/>
          <w:rFonts w:hint="eastAsia" w:ascii="仿宋_GB2312" w:hAnsi="仿宋_GB2312" w:eastAsia="仿宋_GB2312" w:cs="仿宋_GB2312"/>
          <w:b w:val="0"/>
          <w:bCs/>
          <w:color w:val="auto"/>
          <w:sz w:val="32"/>
          <w:szCs w:val="32"/>
          <w:highlight w:val="none"/>
        </w:rPr>
        <w:t>万元，占</w:t>
      </w:r>
      <w:r>
        <w:rPr>
          <w:rStyle w:val="17"/>
          <w:rFonts w:hint="eastAsia" w:ascii="仿宋_GB2312" w:hAnsi="仿宋_GB2312" w:eastAsia="仿宋_GB2312" w:cs="仿宋_GB2312"/>
          <w:b w:val="0"/>
          <w:bCs/>
          <w:color w:val="auto"/>
          <w:sz w:val="32"/>
          <w:szCs w:val="32"/>
          <w:highlight w:val="none"/>
          <w:lang w:val="en-US" w:eastAsia="zh-CN"/>
        </w:rPr>
        <w:t>61</w:t>
      </w:r>
      <w:r>
        <w:rPr>
          <w:rStyle w:val="17"/>
          <w:rFonts w:hint="eastAsia" w:ascii="仿宋_GB2312" w:hAnsi="仿宋_GB2312" w:eastAsia="仿宋_GB2312" w:cs="仿宋_GB2312"/>
          <w:b w:val="0"/>
          <w:bCs/>
          <w:color w:val="auto"/>
          <w:sz w:val="32"/>
          <w:szCs w:val="32"/>
          <w:highlight w:val="none"/>
        </w:rPr>
        <w:t>%；公务接待费支出决算</w:t>
      </w:r>
      <w:r>
        <w:rPr>
          <w:rStyle w:val="17"/>
          <w:rFonts w:hint="eastAsia" w:ascii="仿宋_GB2312" w:hAnsi="仿宋_GB2312" w:eastAsia="仿宋_GB2312" w:cs="仿宋_GB2312"/>
          <w:b w:val="0"/>
          <w:bCs/>
          <w:color w:val="auto"/>
          <w:sz w:val="32"/>
          <w:szCs w:val="32"/>
          <w:highlight w:val="none"/>
          <w:lang w:val="en-US" w:eastAsia="zh-CN"/>
        </w:rPr>
        <w:t>4.33</w:t>
      </w:r>
      <w:r>
        <w:rPr>
          <w:rStyle w:val="17"/>
          <w:rFonts w:hint="eastAsia" w:ascii="仿宋_GB2312" w:hAnsi="仿宋_GB2312" w:eastAsia="仿宋_GB2312" w:cs="仿宋_GB2312"/>
          <w:b w:val="0"/>
          <w:bCs/>
          <w:color w:val="auto"/>
          <w:sz w:val="32"/>
          <w:szCs w:val="32"/>
          <w:highlight w:val="none"/>
        </w:rPr>
        <w:t>万元，占</w:t>
      </w:r>
      <w:r>
        <w:rPr>
          <w:rStyle w:val="17"/>
          <w:rFonts w:hint="eastAsia" w:ascii="仿宋_GB2312" w:hAnsi="仿宋_GB2312" w:eastAsia="仿宋_GB2312" w:cs="仿宋_GB2312"/>
          <w:b w:val="0"/>
          <w:bCs/>
          <w:color w:val="auto"/>
          <w:sz w:val="32"/>
          <w:szCs w:val="32"/>
          <w:highlight w:val="none"/>
          <w:lang w:val="en-US" w:eastAsia="zh-CN"/>
        </w:rPr>
        <w:t>39</w:t>
      </w:r>
      <w:r>
        <w:rPr>
          <w:rStyle w:val="17"/>
          <w:rFonts w:hint="eastAsia" w:ascii="仿宋_GB2312" w:hAnsi="仿宋_GB2312" w:eastAsia="仿宋_GB2312" w:cs="仿宋_GB2312"/>
          <w:b w:val="0"/>
          <w:bCs/>
          <w:color w:val="auto"/>
          <w:sz w:val="32"/>
          <w:szCs w:val="32"/>
          <w:highlight w:val="none"/>
        </w:rPr>
        <w:t>%。具体情况如下：</w:t>
      </w:r>
    </w:p>
    <w:p>
      <w:pPr>
        <w:spacing w:line="6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673100</wp:posOffset>
            </wp:positionH>
            <wp:positionV relativeFrom="paragraph">
              <wp:posOffset>33020</wp:posOffset>
            </wp:positionV>
            <wp:extent cx="3674110" cy="2205990"/>
            <wp:effectExtent l="4445" t="5080" r="17145" b="1778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ind w:firstLine="640"/>
        <w:jc w:val="center"/>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rPr>
        <w:t>（图7：“三公”经费财政拨款支出结构）</w:t>
      </w:r>
    </w:p>
    <w:p>
      <w:pPr>
        <w:spacing w:line="600" w:lineRule="exact"/>
        <w:ind w:firstLine="640"/>
        <w:rPr>
          <w:b w:val="0"/>
          <w:bCs/>
        </w:rPr>
      </w:pPr>
      <w:r>
        <w:rPr>
          <w:rFonts w:ascii="仿宋_GB2312" w:eastAsia="仿宋_GB2312"/>
          <w:b w:val="0"/>
          <w:bCs/>
          <w:color w:val="auto"/>
          <w:sz w:val="32"/>
          <w:szCs w:val="32"/>
          <w:highlight w:val="none"/>
        </w:rPr>
        <w:t>1.</w:t>
      </w:r>
      <w:r>
        <w:rPr>
          <w:rFonts w:hint="eastAsia" w:ascii="仿宋_GB2312" w:eastAsia="仿宋_GB2312"/>
          <w:b w:val="0"/>
          <w:bCs/>
          <w:color w:val="auto"/>
          <w:sz w:val="32"/>
          <w:szCs w:val="32"/>
          <w:highlight w:val="none"/>
        </w:rPr>
        <w:t>因公出国（境）经费支出</w:t>
      </w:r>
      <w:r>
        <w:rPr>
          <w:rStyle w:val="17"/>
          <w:rFonts w:hint="eastAsia" w:ascii="仿宋_GB2312" w:hAnsi="仿宋_GB2312" w:eastAsia="仿宋_GB2312" w:cs="仿宋_GB2312"/>
          <w:b w:val="0"/>
          <w:bCs/>
          <w:color w:val="auto"/>
          <w:sz w:val="32"/>
          <w:szCs w:val="32"/>
          <w:highlight w:val="none"/>
          <w:lang w:val="en-US" w:eastAsia="zh-CN"/>
        </w:rPr>
        <w:t>0万元，年初未安排预算，因公出国（境）支出决算较2021年无变化。</w:t>
      </w:r>
    </w:p>
    <w:p>
      <w:pPr>
        <w:spacing w:line="600" w:lineRule="exact"/>
        <w:ind w:firstLine="640"/>
        <w:rPr>
          <w:rFonts w:ascii="仿宋_GB2312" w:eastAsia="仿宋_GB2312"/>
          <w:b w:val="0"/>
          <w:bCs/>
          <w:color w:val="auto"/>
          <w:sz w:val="32"/>
          <w:szCs w:val="32"/>
          <w:highlight w:val="none"/>
        </w:rPr>
      </w:pPr>
      <w:r>
        <w:rPr>
          <w:rFonts w:ascii="仿宋_GB2312" w:eastAsia="仿宋_GB2312"/>
          <w:b w:val="0"/>
          <w:bCs/>
          <w:color w:val="auto"/>
          <w:sz w:val="32"/>
          <w:szCs w:val="32"/>
          <w:highlight w:val="none"/>
        </w:rPr>
        <w:t>2.</w:t>
      </w:r>
      <w:r>
        <w:rPr>
          <w:rFonts w:hint="eastAsia" w:ascii="仿宋_GB2312" w:eastAsia="仿宋_GB2312"/>
          <w:b w:val="0"/>
          <w:bCs/>
          <w:color w:val="auto"/>
          <w:sz w:val="32"/>
          <w:szCs w:val="32"/>
          <w:highlight w:val="none"/>
        </w:rPr>
        <w:t>公务用车购置及运行维护费支出</w:t>
      </w:r>
      <w:r>
        <w:rPr>
          <w:rFonts w:hint="eastAsia" w:ascii="仿宋_GB2312" w:eastAsia="仿宋_GB2312"/>
          <w:b w:val="0"/>
          <w:bCs/>
          <w:color w:val="auto"/>
          <w:sz w:val="32"/>
          <w:szCs w:val="32"/>
          <w:highlight w:val="none"/>
          <w:lang w:val="en-US" w:eastAsia="zh-CN"/>
        </w:rPr>
        <w:t>6.78</w:t>
      </w:r>
      <w:r>
        <w:rPr>
          <w:rFonts w:hint="eastAsia" w:ascii="仿宋_GB2312" w:eastAsia="仿宋_GB2312"/>
          <w:b w:val="0"/>
          <w:bCs/>
          <w:color w:val="auto"/>
          <w:sz w:val="32"/>
          <w:szCs w:val="32"/>
          <w:highlight w:val="none"/>
        </w:rPr>
        <w:t>万元</w:t>
      </w:r>
      <w:r>
        <w:rPr>
          <w:rFonts w:hint="eastAsia" w:ascii="仿宋_GB2312" w:eastAsia="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完成预算100%。公务用车购置及运行维护费支出决算比2021年增</w:t>
      </w:r>
      <w:r>
        <w:rPr>
          <w:rFonts w:hint="eastAsia" w:ascii="仿宋_GB2312" w:eastAsia="仿宋_GB2312"/>
          <w:b w:val="0"/>
          <w:bCs/>
          <w:color w:val="auto"/>
          <w:sz w:val="32"/>
          <w:szCs w:val="32"/>
          <w:highlight w:val="none"/>
        </w:rPr>
        <w:t>加</w:t>
      </w:r>
      <w:r>
        <w:rPr>
          <w:rFonts w:hint="eastAsia" w:ascii="仿宋_GB2312" w:eastAsia="仿宋_GB2312"/>
          <w:b w:val="0"/>
          <w:bCs/>
          <w:color w:val="auto"/>
          <w:sz w:val="32"/>
          <w:szCs w:val="32"/>
          <w:highlight w:val="none"/>
          <w:lang w:val="en-US" w:eastAsia="zh-CN"/>
        </w:rPr>
        <w:t>1.03</w:t>
      </w:r>
      <w:r>
        <w:rPr>
          <w:rFonts w:hint="eastAsia" w:ascii="仿宋_GB2312" w:eastAsia="仿宋_GB2312"/>
          <w:b w:val="0"/>
          <w:bCs/>
          <w:color w:val="auto"/>
          <w:sz w:val="32"/>
          <w:szCs w:val="32"/>
          <w:highlight w:val="none"/>
        </w:rPr>
        <w:t>万元，增长</w:t>
      </w:r>
      <w:r>
        <w:rPr>
          <w:rFonts w:hint="eastAsia" w:ascii="仿宋_GB2312" w:eastAsia="仿宋_GB2312"/>
          <w:b w:val="0"/>
          <w:bCs/>
          <w:color w:val="auto"/>
          <w:sz w:val="32"/>
          <w:szCs w:val="32"/>
          <w:highlight w:val="none"/>
          <w:lang w:val="en-US" w:eastAsia="zh-CN"/>
        </w:rPr>
        <w:t>17.9</w:t>
      </w:r>
      <w:r>
        <w:rPr>
          <w:rFonts w:ascii="仿宋_GB2312" w:eastAsia="仿宋_GB2312"/>
          <w:b w:val="0"/>
          <w:bCs/>
          <w:color w:val="auto"/>
          <w:sz w:val="32"/>
          <w:szCs w:val="32"/>
          <w:highlight w:val="none"/>
        </w:rPr>
        <w:t>%</w:t>
      </w:r>
      <w:r>
        <w:rPr>
          <w:rFonts w:hint="eastAsia" w:ascii="仿宋_GB2312" w:eastAsia="仿宋_GB2312"/>
          <w:b w:val="0"/>
          <w:bCs/>
          <w:color w:val="auto"/>
          <w:sz w:val="32"/>
          <w:szCs w:val="32"/>
          <w:highlight w:val="none"/>
        </w:rPr>
        <w:t>。</w:t>
      </w:r>
      <w:r>
        <w:rPr>
          <w:rFonts w:hint="eastAsia" w:ascii="仿宋_GB2312" w:hAnsi="仿宋_GB2312" w:eastAsia="仿宋_GB2312"/>
          <w:b w:val="0"/>
          <w:bCs/>
          <w:w w:val="95"/>
          <w:sz w:val="32"/>
          <w:szCs w:val="24"/>
        </w:rPr>
        <w:t>主要原因是车辆车龄较长，维修费</w:t>
      </w:r>
      <w:r>
        <w:rPr>
          <w:rFonts w:hint="eastAsia" w:ascii="仿宋_GB2312" w:hAnsi="仿宋_GB2312" w:eastAsia="仿宋_GB2312"/>
          <w:b w:val="0"/>
          <w:bCs/>
          <w:spacing w:val="-4"/>
          <w:sz w:val="32"/>
          <w:szCs w:val="24"/>
        </w:rPr>
        <w:t>增长。</w:t>
      </w:r>
    </w:p>
    <w:p>
      <w:pPr>
        <w:spacing w:line="600" w:lineRule="exact"/>
        <w:ind w:firstLine="640" w:firstLineChars="200"/>
        <w:rPr>
          <w:rFonts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其中：公务用车购置支出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万元。全年按规定更新购置公务用车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辆。截至</w:t>
      </w: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22</w:t>
      </w:r>
      <w:r>
        <w:rPr>
          <w:rFonts w:hint="eastAsia" w:ascii="仿宋_GB2312" w:eastAsia="仿宋_GB2312"/>
          <w:b w:val="0"/>
          <w:bCs/>
          <w:color w:val="auto"/>
          <w:sz w:val="32"/>
          <w:szCs w:val="32"/>
          <w:highlight w:val="none"/>
        </w:rPr>
        <w:t>年</w:t>
      </w:r>
      <w:r>
        <w:rPr>
          <w:rFonts w:ascii="仿宋_GB2312" w:eastAsia="仿宋_GB2312"/>
          <w:b w:val="0"/>
          <w:bCs/>
          <w:color w:val="auto"/>
          <w:sz w:val="32"/>
          <w:szCs w:val="32"/>
          <w:highlight w:val="none"/>
        </w:rPr>
        <w:t>12</w:t>
      </w:r>
      <w:r>
        <w:rPr>
          <w:rFonts w:hint="eastAsia" w:ascii="仿宋_GB2312" w:eastAsia="仿宋_GB2312"/>
          <w:b w:val="0"/>
          <w:bCs/>
          <w:color w:val="auto"/>
          <w:sz w:val="32"/>
          <w:szCs w:val="32"/>
          <w:highlight w:val="none"/>
        </w:rPr>
        <w:t>月底，单位共有公务用车</w:t>
      </w:r>
      <w:r>
        <w:rPr>
          <w:rFonts w:hint="eastAsia" w:ascii="仿宋_GB2312" w:eastAsia="仿宋_GB2312"/>
          <w:b w:val="0"/>
          <w:bCs/>
          <w:color w:val="auto"/>
          <w:sz w:val="32"/>
          <w:szCs w:val="32"/>
          <w:highlight w:val="none"/>
          <w:lang w:val="en-US" w:eastAsia="zh-CN"/>
        </w:rPr>
        <w:t>1</w:t>
      </w:r>
      <w:r>
        <w:rPr>
          <w:rFonts w:hint="eastAsia" w:ascii="仿宋_GB2312" w:eastAsia="仿宋_GB2312"/>
          <w:b w:val="0"/>
          <w:bCs/>
          <w:color w:val="auto"/>
          <w:sz w:val="32"/>
          <w:szCs w:val="32"/>
          <w:highlight w:val="none"/>
        </w:rPr>
        <w:t>辆，其中：越野车</w:t>
      </w:r>
      <w:r>
        <w:rPr>
          <w:rFonts w:hint="eastAsia" w:ascii="仿宋_GB2312" w:eastAsia="仿宋_GB2312"/>
          <w:b w:val="0"/>
          <w:bCs/>
          <w:color w:val="auto"/>
          <w:sz w:val="32"/>
          <w:szCs w:val="32"/>
          <w:highlight w:val="none"/>
          <w:lang w:val="en-US" w:eastAsia="zh-CN"/>
        </w:rPr>
        <w:t>1</w:t>
      </w:r>
      <w:r>
        <w:rPr>
          <w:rFonts w:hint="eastAsia" w:ascii="仿宋_GB2312" w:eastAsia="仿宋_GB2312"/>
          <w:b w:val="0"/>
          <w:bCs/>
          <w:color w:val="auto"/>
          <w:sz w:val="32"/>
          <w:szCs w:val="32"/>
          <w:highlight w:val="none"/>
        </w:rPr>
        <w:t>辆。</w:t>
      </w:r>
    </w:p>
    <w:p>
      <w:pPr>
        <w:keepNext w:val="0"/>
        <w:keepLines w:val="0"/>
        <w:pageBreakBefore w:val="0"/>
        <w:kinsoku/>
        <w:wordWrap/>
        <w:overflowPunct/>
        <w:topLinePunct w:val="0"/>
        <w:bidi w:val="0"/>
        <w:snapToGrid/>
        <w:spacing w:line="576" w:lineRule="exact"/>
        <w:ind w:firstLine="640"/>
        <w:textAlignment w:val="auto"/>
        <w:rPr>
          <w:rFonts w:hint="eastAsia" w:ascii="仿宋_GB2312" w:hAnsi="Times New Roman" w:eastAsia="仿宋_GB2312" w:cs="Times New Roman"/>
          <w:b w:val="0"/>
          <w:bCs/>
          <w:color w:val="auto"/>
          <w:sz w:val="32"/>
          <w:szCs w:val="32"/>
          <w:highlight w:val="none"/>
        </w:rPr>
      </w:pPr>
      <w:r>
        <w:rPr>
          <w:rFonts w:hint="eastAsia" w:ascii="仿宋_GB2312" w:eastAsia="仿宋_GB2312"/>
          <w:b w:val="0"/>
          <w:bCs/>
          <w:color w:val="auto"/>
          <w:sz w:val="32"/>
          <w:szCs w:val="32"/>
          <w:highlight w:val="none"/>
        </w:rPr>
        <w:t>公务用车运行维护费支出</w:t>
      </w:r>
      <w:r>
        <w:rPr>
          <w:rFonts w:hint="eastAsia" w:ascii="仿宋_GB2312" w:hAnsi="Times New Roman" w:eastAsia="仿宋_GB2312" w:cs="Times New Roman"/>
          <w:b w:val="0"/>
          <w:bCs/>
          <w:color w:val="auto"/>
          <w:sz w:val="32"/>
          <w:szCs w:val="32"/>
          <w:highlight w:val="none"/>
          <w:lang w:val="en-US" w:eastAsia="zh-CN"/>
        </w:rPr>
        <w:t>6.78</w:t>
      </w:r>
      <w:r>
        <w:rPr>
          <w:rFonts w:hint="eastAsia" w:ascii="仿宋_GB2312" w:hAnsi="Times New Roman" w:eastAsia="仿宋_GB2312" w:cs="Times New Roman"/>
          <w:b w:val="0"/>
          <w:bCs/>
          <w:color w:val="auto"/>
          <w:sz w:val="32"/>
          <w:szCs w:val="32"/>
          <w:highlight w:val="none"/>
        </w:rPr>
        <w:t>万元。主要用于城市建设及维护、建筑行业管理等所需的公务用车燃料费、维修费、过路过桥费、保险费等支出。</w:t>
      </w:r>
    </w:p>
    <w:p>
      <w:pPr>
        <w:spacing w:line="600" w:lineRule="exact"/>
        <w:ind w:firstLine="640"/>
        <w:rPr>
          <w:rFonts w:hint="eastAsia" w:ascii="仿宋_GB2312" w:hAnsi="Times New Roman" w:eastAsia="仿宋_GB2312" w:cs="Times New Roman"/>
          <w:b w:val="0"/>
          <w:bCs/>
          <w:color w:val="auto"/>
          <w:sz w:val="32"/>
          <w:szCs w:val="32"/>
          <w:highlight w:val="none"/>
          <w:lang w:val="en-US" w:eastAsia="zh-CN"/>
        </w:rPr>
      </w:pPr>
      <w:r>
        <w:rPr>
          <w:rFonts w:ascii="仿宋_GB2312" w:eastAsia="仿宋_GB2312"/>
          <w:b w:val="0"/>
          <w:bCs/>
          <w:color w:val="auto"/>
          <w:sz w:val="32"/>
          <w:szCs w:val="32"/>
          <w:highlight w:val="none"/>
        </w:rPr>
        <w:t>3.</w:t>
      </w:r>
      <w:r>
        <w:rPr>
          <w:rFonts w:hint="eastAsia" w:ascii="仿宋_GB2312" w:eastAsia="仿宋_GB2312"/>
          <w:b w:val="0"/>
          <w:bCs/>
          <w:color w:val="auto"/>
          <w:sz w:val="32"/>
          <w:szCs w:val="32"/>
          <w:highlight w:val="none"/>
        </w:rPr>
        <w:t>公务接待费支出</w:t>
      </w:r>
      <w:r>
        <w:rPr>
          <w:rFonts w:hint="eastAsia" w:ascii="仿宋_GB2312" w:hAnsi="Times New Roman" w:eastAsia="仿宋_GB2312" w:cs="Times New Roman"/>
          <w:b w:val="0"/>
          <w:bCs/>
          <w:color w:val="auto"/>
          <w:sz w:val="32"/>
          <w:szCs w:val="32"/>
          <w:highlight w:val="none"/>
          <w:lang w:val="en-US" w:eastAsia="zh-CN"/>
        </w:rPr>
        <w:t>4.33万元，完成预算100%。公务接待费支出决算比2021年增加2.1万元，增长94.2%。主要</w:t>
      </w:r>
      <w:r>
        <w:rPr>
          <w:rFonts w:hint="eastAsia" w:ascii="仿宋_GB2312" w:eastAsia="仿宋_GB2312" w:cs="Times New Roman"/>
          <w:b w:val="0"/>
          <w:bCs/>
          <w:color w:val="auto"/>
          <w:sz w:val="32"/>
          <w:szCs w:val="32"/>
          <w:highlight w:val="none"/>
          <w:lang w:val="en-US" w:eastAsia="zh-CN"/>
        </w:rPr>
        <w:t>原因是</w:t>
      </w:r>
      <w:r>
        <w:rPr>
          <w:rFonts w:hint="eastAsia" w:ascii="仿宋_GB2312" w:hAnsi="Times New Roman" w:eastAsia="仿宋_GB2312" w:cs="Times New Roman"/>
          <w:b w:val="0"/>
          <w:bCs/>
          <w:color w:val="auto"/>
          <w:sz w:val="32"/>
          <w:szCs w:val="32"/>
          <w:highlight w:val="none"/>
          <w:lang w:val="en-US" w:eastAsia="zh-CN"/>
        </w:rPr>
        <w:t>局机关工作需要接待业务增加。其中：</w:t>
      </w:r>
    </w:p>
    <w:p>
      <w:pPr>
        <w:pStyle w:val="2"/>
        <w:keepNext w:val="0"/>
        <w:keepLines w:val="0"/>
        <w:pageBreakBefore w:val="0"/>
        <w:widowControl w:val="0"/>
        <w:kinsoku w:val="0"/>
        <w:wordWrap/>
        <w:overflowPunct w:val="0"/>
        <w:topLinePunct w:val="0"/>
        <w:autoSpaceDE/>
        <w:autoSpaceDN/>
        <w:bidi w:val="0"/>
        <w:adjustRightInd/>
        <w:snapToGrid/>
        <w:spacing w:beforeLines="0" w:line="576" w:lineRule="exact"/>
        <w:ind w:left="0" w:firstLine="640" w:firstLineChars="200"/>
        <w:jc w:val="both"/>
        <w:textAlignment w:val="auto"/>
        <w:rPr>
          <w:rFonts w:hint="eastAsia" w:ascii="仿宋_GB2312" w:hAnsi="Times New Roman" w:eastAsia="仿宋_GB2312" w:cs="Times New Roman"/>
          <w:b w:val="0"/>
          <w:bCs/>
          <w:color w:val="auto"/>
          <w:sz w:val="32"/>
          <w:szCs w:val="32"/>
          <w:highlight w:val="none"/>
        </w:rPr>
      </w:pPr>
      <w:r>
        <w:rPr>
          <w:rFonts w:hint="eastAsia" w:ascii="仿宋_GB2312" w:hAnsi="Times New Roman" w:eastAsia="仿宋_GB2312" w:cs="Times New Roman"/>
          <w:b w:val="0"/>
          <w:bCs/>
          <w:color w:val="auto"/>
          <w:sz w:val="32"/>
          <w:szCs w:val="32"/>
          <w:highlight w:val="none"/>
        </w:rPr>
        <w:t>国内公务接待支出</w:t>
      </w:r>
      <w:r>
        <w:rPr>
          <w:rFonts w:hint="eastAsia" w:ascii="仿宋_GB2312" w:hAnsi="Times New Roman" w:eastAsia="仿宋_GB2312" w:cs="Times New Roman"/>
          <w:b w:val="0"/>
          <w:bCs/>
          <w:color w:val="auto"/>
          <w:sz w:val="32"/>
          <w:szCs w:val="32"/>
          <w:highlight w:val="none"/>
          <w:lang w:val="en-US" w:eastAsia="zh-CN"/>
        </w:rPr>
        <w:t>4.33</w:t>
      </w:r>
      <w:r>
        <w:rPr>
          <w:rFonts w:hint="eastAsia" w:ascii="仿宋_GB2312" w:hAnsi="Times New Roman" w:eastAsia="仿宋_GB2312" w:cs="Times New Roman"/>
          <w:b w:val="0"/>
          <w:bCs/>
          <w:color w:val="auto"/>
          <w:sz w:val="32"/>
          <w:szCs w:val="32"/>
          <w:highlight w:val="none"/>
        </w:rPr>
        <w:t>万元，</w:t>
      </w:r>
      <w:r>
        <w:rPr>
          <w:rFonts w:hint="eastAsia" w:ascii="仿宋_GB2312" w:hAnsi="Times New Roman" w:eastAsia="仿宋_GB2312" w:cs="Times New Roman"/>
          <w:b w:val="0"/>
          <w:bCs/>
          <w:color w:val="auto"/>
          <w:sz w:val="32"/>
          <w:szCs w:val="32"/>
          <w:highlight w:val="none"/>
          <w:lang w:val="en-US" w:eastAsia="zh-CN"/>
        </w:rPr>
        <w:t>主要用于执行公务开支的用餐费</w:t>
      </w:r>
      <w:r>
        <w:rPr>
          <w:rFonts w:hint="eastAsia" w:ascii="仿宋_GB2312" w:hAnsi="Times New Roman" w:eastAsia="仿宋_GB2312" w:cs="Times New Roman"/>
          <w:b w:val="0"/>
          <w:bCs/>
          <w:color w:val="auto"/>
          <w:sz w:val="32"/>
          <w:szCs w:val="32"/>
          <w:highlight w:val="none"/>
        </w:rPr>
        <w:t>。国内公务接待</w:t>
      </w:r>
      <w:r>
        <w:rPr>
          <w:rFonts w:hint="eastAsia" w:ascii="仿宋_GB2312" w:hAnsi="Times New Roman" w:eastAsia="仿宋_GB2312" w:cs="Times New Roman"/>
          <w:b w:val="0"/>
          <w:bCs/>
          <w:color w:val="auto"/>
          <w:sz w:val="32"/>
          <w:szCs w:val="32"/>
          <w:highlight w:val="none"/>
          <w:lang w:val="en-US" w:eastAsia="zh-CN"/>
        </w:rPr>
        <w:t>25</w:t>
      </w:r>
      <w:r>
        <w:rPr>
          <w:rFonts w:hint="eastAsia" w:ascii="仿宋_GB2312" w:hAnsi="Times New Roman" w:eastAsia="仿宋_GB2312" w:cs="Times New Roman"/>
          <w:b w:val="0"/>
          <w:bCs/>
          <w:color w:val="auto"/>
          <w:sz w:val="32"/>
          <w:szCs w:val="32"/>
          <w:highlight w:val="none"/>
        </w:rPr>
        <w:t>批次，</w:t>
      </w:r>
      <w:r>
        <w:rPr>
          <w:rFonts w:hint="eastAsia" w:ascii="仿宋_GB2312" w:hAnsi="Times New Roman" w:eastAsia="仿宋_GB2312" w:cs="Times New Roman"/>
          <w:b w:val="0"/>
          <w:bCs/>
          <w:color w:val="auto"/>
          <w:sz w:val="32"/>
          <w:szCs w:val="32"/>
          <w:highlight w:val="none"/>
          <w:lang w:val="en-US" w:eastAsia="zh-CN"/>
        </w:rPr>
        <w:t>233</w:t>
      </w:r>
      <w:r>
        <w:rPr>
          <w:rFonts w:hint="eastAsia" w:ascii="仿宋_GB2312" w:hAnsi="Times New Roman" w:eastAsia="仿宋_GB2312" w:cs="Times New Roman"/>
          <w:b w:val="0"/>
          <w:bCs/>
          <w:color w:val="auto"/>
          <w:sz w:val="32"/>
          <w:szCs w:val="32"/>
          <w:highlight w:val="none"/>
        </w:rPr>
        <w:t>人次</w:t>
      </w:r>
      <w:r>
        <w:rPr>
          <w:rFonts w:hint="eastAsia" w:ascii="仿宋_GB2312" w:eastAsia="仿宋_GB2312"/>
          <w:color w:val="auto"/>
          <w:sz w:val="32"/>
          <w:szCs w:val="32"/>
          <w:highlight w:val="none"/>
        </w:rPr>
        <w:t>（不包括陪同人员）</w:t>
      </w:r>
      <w:r>
        <w:rPr>
          <w:rFonts w:hint="eastAsia" w:ascii="仿宋_GB2312" w:hAnsi="Times New Roman" w:eastAsia="仿宋_GB2312" w:cs="Times New Roman"/>
          <w:b w:val="0"/>
          <w:bCs/>
          <w:color w:val="auto"/>
          <w:sz w:val="32"/>
          <w:szCs w:val="32"/>
          <w:highlight w:val="none"/>
        </w:rPr>
        <w:t>，共计支出</w:t>
      </w:r>
      <w:r>
        <w:rPr>
          <w:rFonts w:hint="eastAsia" w:ascii="仿宋_GB2312" w:hAnsi="Times New Roman" w:eastAsia="仿宋_GB2312" w:cs="Times New Roman"/>
          <w:b w:val="0"/>
          <w:bCs/>
          <w:color w:val="auto"/>
          <w:sz w:val="32"/>
          <w:szCs w:val="32"/>
          <w:highlight w:val="none"/>
          <w:lang w:val="en-US" w:eastAsia="zh-CN"/>
        </w:rPr>
        <w:t>4.33</w:t>
      </w:r>
      <w:r>
        <w:rPr>
          <w:rFonts w:hint="eastAsia" w:ascii="仿宋_GB2312" w:hAnsi="Times New Roman" w:eastAsia="仿宋_GB2312" w:cs="Times New Roman"/>
          <w:b w:val="0"/>
          <w:bCs/>
          <w:color w:val="auto"/>
          <w:sz w:val="32"/>
          <w:szCs w:val="32"/>
          <w:highlight w:val="none"/>
        </w:rPr>
        <w:t>万元，</w:t>
      </w:r>
      <w:r>
        <w:rPr>
          <w:rFonts w:hint="eastAsia" w:ascii="仿宋_GB2312" w:hAnsi="仿宋_GB2312" w:eastAsia="仿宋_GB2312"/>
          <w:b w:val="0"/>
          <w:bCs/>
          <w:color w:val="auto"/>
          <w:spacing w:val="-2"/>
          <w:w w:val="99"/>
          <w:sz w:val="32"/>
          <w:szCs w:val="24"/>
        </w:rPr>
        <w:t>具体内容包括：</w:t>
      </w:r>
      <w:r>
        <w:rPr>
          <w:rFonts w:hint="eastAsia" w:ascii="仿宋_GB2312" w:hAnsi="仿宋_GB2312" w:eastAsia="仿宋_GB2312"/>
          <w:b w:val="0"/>
          <w:bCs/>
          <w:spacing w:val="-2"/>
          <w:w w:val="99"/>
          <w:sz w:val="32"/>
          <w:szCs w:val="24"/>
        </w:rPr>
        <w:t>省住建厅来广检</w:t>
      </w:r>
      <w:r>
        <w:rPr>
          <w:rFonts w:hint="eastAsia" w:ascii="仿宋_GB2312" w:hAnsi="仿宋_GB2312" w:eastAsia="仿宋_GB2312"/>
          <w:b w:val="0"/>
          <w:bCs/>
          <w:spacing w:val="-3"/>
          <w:w w:val="99"/>
          <w:sz w:val="32"/>
          <w:szCs w:val="24"/>
        </w:rPr>
        <w:t>查工作、调研；遂宁、巴中、南充、绵阳市住建局来广考察</w:t>
      </w:r>
      <w:r>
        <w:rPr>
          <w:rFonts w:hint="eastAsia" w:ascii="仿宋_GB2312" w:hAnsi="仿宋_GB2312" w:eastAsia="仿宋_GB2312"/>
          <w:b w:val="0"/>
          <w:bCs/>
          <w:spacing w:val="-1"/>
          <w:w w:val="99"/>
          <w:sz w:val="32"/>
          <w:szCs w:val="24"/>
        </w:rPr>
        <w:t>等共计支出</w:t>
      </w:r>
      <w:r>
        <w:rPr>
          <w:rFonts w:hint="eastAsia" w:ascii="仿宋_GB2312" w:hAnsi="仿宋_GB2312" w:eastAsia="仿宋_GB2312"/>
          <w:b w:val="0"/>
          <w:bCs/>
          <w:spacing w:val="-79"/>
          <w:sz w:val="32"/>
          <w:szCs w:val="24"/>
        </w:rPr>
        <w:t xml:space="preserve"> </w:t>
      </w:r>
      <w:r>
        <w:rPr>
          <w:rFonts w:hint="eastAsia" w:hAnsi="仿宋_GB2312"/>
          <w:b w:val="0"/>
          <w:bCs/>
          <w:spacing w:val="-2"/>
          <w:w w:val="99"/>
          <w:sz w:val="32"/>
          <w:szCs w:val="24"/>
          <w:lang w:val="en-US" w:eastAsia="zh-CN"/>
        </w:rPr>
        <w:t>4.33</w:t>
      </w:r>
      <w:r>
        <w:rPr>
          <w:rFonts w:hint="eastAsia" w:ascii="仿宋_GB2312" w:hAnsi="仿宋_GB2312" w:eastAsia="仿宋_GB2312"/>
          <w:b w:val="0"/>
          <w:bCs/>
          <w:w w:val="99"/>
          <w:sz w:val="32"/>
          <w:szCs w:val="24"/>
        </w:rPr>
        <w:t>万元。</w:t>
      </w:r>
    </w:p>
    <w:p>
      <w:pPr>
        <w:keepNext w:val="0"/>
        <w:keepLines w:val="0"/>
        <w:pageBreakBefore w:val="0"/>
        <w:widowControl w:val="0"/>
        <w:wordWrap/>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b w:val="0"/>
          <w:bCs/>
          <w:color w:val="auto"/>
          <w:sz w:val="32"/>
          <w:szCs w:val="32"/>
          <w:highlight w:val="none"/>
        </w:rPr>
        <w:t>外事接待支出</w:t>
      </w:r>
      <w:r>
        <w:rPr>
          <w:rFonts w:hint="eastAsia" w:ascii="仿宋_GB2312" w:hAnsi="Times New Roman" w:eastAsia="仿宋_GB2312" w:cs="Times New Roman"/>
          <w:b w:val="0"/>
          <w:bCs/>
          <w:color w:val="auto"/>
          <w:sz w:val="32"/>
          <w:szCs w:val="32"/>
          <w:highlight w:val="none"/>
          <w:lang w:val="en-US" w:eastAsia="zh-CN"/>
        </w:rPr>
        <w:t>0</w:t>
      </w:r>
      <w:r>
        <w:rPr>
          <w:rFonts w:hint="eastAsia" w:ascii="仿宋_GB2312" w:hAnsi="Times New Roman" w:eastAsia="仿宋_GB2312" w:cs="Times New Roman"/>
          <w:b w:val="0"/>
          <w:bCs/>
          <w:color w:val="auto"/>
          <w:sz w:val="32"/>
          <w:szCs w:val="32"/>
          <w:highlight w:val="none"/>
        </w:rPr>
        <w:t>万元。</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Fonts w:hint="eastAsia" w:ascii="黑体" w:hAnsi="黑体" w:eastAsia="黑体" w:cs="Times New Roman"/>
          <w:color w:val="auto"/>
          <w:sz w:val="32"/>
          <w:szCs w:val="32"/>
          <w:highlight w:val="none"/>
        </w:rPr>
      </w:pPr>
      <w:bookmarkStart w:id="86" w:name="_Toc15377218"/>
      <w:bookmarkStart w:id="87" w:name="_Toc15396610"/>
      <w:bookmarkStart w:id="88" w:name="_Toc20274"/>
      <w:bookmarkStart w:id="89" w:name="_Toc3352"/>
      <w:r>
        <w:rPr>
          <w:rFonts w:hint="eastAsia" w:ascii="黑体" w:hAnsi="黑体" w:eastAsia="黑体" w:cs="Times New Roman"/>
          <w:color w:val="auto"/>
          <w:sz w:val="32"/>
          <w:szCs w:val="32"/>
          <w:highlight w:val="none"/>
        </w:rPr>
        <w:t>八、政府性基金预算支出决算情况说明</w:t>
      </w:r>
      <w:bookmarkEnd w:id="86"/>
      <w:bookmarkEnd w:id="87"/>
      <w:bookmarkEnd w:id="88"/>
      <w:bookmarkEnd w:id="89"/>
    </w:p>
    <w:p>
      <w:pPr>
        <w:pStyle w:val="2"/>
        <w:keepNext w:val="0"/>
        <w:keepLines w:val="0"/>
        <w:pageBreakBefore w:val="0"/>
        <w:widowControl w:val="0"/>
        <w:kinsoku w:val="0"/>
        <w:wordWrap/>
        <w:overflowPunct w:val="0"/>
        <w:topLinePunct w:val="0"/>
        <w:autoSpaceDE/>
        <w:autoSpaceDN/>
        <w:bidi w:val="0"/>
        <w:adjustRightInd/>
        <w:snapToGrid/>
        <w:spacing w:beforeLines="0" w:line="576" w:lineRule="exact"/>
        <w:ind w:left="0" w:firstLine="640" w:firstLineChars="200"/>
        <w:jc w:val="both"/>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25843.08</w:t>
      </w:r>
      <w:r>
        <w:rPr>
          <w:rFonts w:hint="eastAsia" w:ascii="仿宋_GB2312" w:eastAsia="仿宋_GB2312"/>
          <w:color w:val="auto"/>
          <w:sz w:val="32"/>
          <w:szCs w:val="32"/>
          <w:highlight w:val="none"/>
        </w:rPr>
        <w:t>万元。</w:t>
      </w:r>
      <w:r>
        <w:rPr>
          <w:rFonts w:hint="eastAsia" w:ascii="仿宋_GB2312" w:hAnsi="仿宋_GB2312" w:eastAsia="仿宋_GB2312"/>
          <w:w w:val="95"/>
          <w:sz w:val="32"/>
          <w:szCs w:val="24"/>
        </w:rPr>
        <w:t>202</w:t>
      </w:r>
      <w:r>
        <w:rPr>
          <w:rFonts w:hint="eastAsia" w:hAnsi="仿宋_GB2312"/>
          <w:w w:val="95"/>
          <w:sz w:val="32"/>
          <w:szCs w:val="24"/>
          <w:lang w:val="en-US" w:eastAsia="zh-CN"/>
        </w:rPr>
        <w:t>2</w:t>
      </w:r>
      <w:r>
        <w:rPr>
          <w:rFonts w:hint="eastAsia" w:ascii="仿宋_GB2312" w:hAnsi="仿宋_GB2312" w:eastAsia="仿宋_GB2312"/>
          <w:w w:val="95"/>
          <w:sz w:val="32"/>
          <w:szCs w:val="24"/>
        </w:rPr>
        <w:t>年政府性基金预算未安排“三公”经</w:t>
      </w:r>
      <w:r>
        <w:rPr>
          <w:rFonts w:hint="eastAsia" w:ascii="仿宋_GB2312" w:hAnsi="仿宋_GB2312" w:eastAsia="仿宋_GB2312"/>
          <w:spacing w:val="-5"/>
          <w:w w:val="95"/>
          <w:sz w:val="32"/>
          <w:szCs w:val="24"/>
        </w:rPr>
        <w:t>费。</w:t>
      </w:r>
    </w:p>
    <w:p>
      <w:pPr>
        <w:keepNext w:val="0"/>
        <w:keepLines w:val="0"/>
        <w:pageBreakBefore w:val="0"/>
        <w:widowControl w:val="0"/>
        <w:numPr>
          <w:ilvl w:val="0"/>
          <w:numId w:val="1"/>
        </w:numPr>
        <w:wordWrap/>
        <w:topLinePunct w:val="0"/>
        <w:autoSpaceDE/>
        <w:autoSpaceDN/>
        <w:bidi w:val="0"/>
        <w:adjustRightInd/>
        <w:snapToGrid/>
        <w:spacing w:line="576" w:lineRule="exact"/>
        <w:ind w:firstLine="640"/>
        <w:textAlignment w:val="auto"/>
        <w:outlineLvl w:val="1"/>
        <w:rPr>
          <w:rStyle w:val="20"/>
          <w:rFonts w:ascii="黑体" w:hAnsi="黑体" w:eastAsia="黑体"/>
          <w:b w:val="0"/>
          <w:color w:val="auto"/>
          <w:highlight w:val="none"/>
        </w:rPr>
      </w:pPr>
      <w:bookmarkStart w:id="90" w:name="_Toc28482"/>
      <w:bookmarkStart w:id="91" w:name="_Toc16230"/>
      <w:bookmarkStart w:id="92" w:name="_Toc15377219"/>
      <w:bookmarkStart w:id="93" w:name="_Toc15396611"/>
      <w:r>
        <w:rPr>
          <w:rStyle w:val="20"/>
          <w:rFonts w:hint="eastAsia" w:ascii="黑体" w:hAnsi="黑体" w:eastAsia="黑体"/>
          <w:b w:val="0"/>
          <w:color w:val="auto"/>
          <w:highlight w:val="none"/>
        </w:rPr>
        <w:t>国有资本经营预算支出决算情况说明</w:t>
      </w:r>
      <w:bookmarkEnd w:id="90"/>
      <w:bookmarkEnd w:id="91"/>
      <w:bookmarkEnd w:id="92"/>
      <w:bookmarkEnd w:id="93"/>
    </w:p>
    <w:p>
      <w:pPr>
        <w:keepNext w:val="0"/>
        <w:keepLines w:val="0"/>
        <w:pageBreakBefore w:val="0"/>
        <w:widowControl w:val="0"/>
        <w:wordWrap/>
        <w:topLinePunct w:val="0"/>
        <w:autoSpaceDE/>
        <w:autoSpaceDN/>
        <w:bidi w:val="0"/>
        <w:adjustRightInd/>
        <w:snapToGrid/>
        <w:spacing w:line="576" w:lineRule="exact"/>
        <w:ind w:firstLine="640"/>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1"/>
        </w:numPr>
        <w:spacing w:line="600" w:lineRule="exact"/>
        <w:ind w:firstLine="640"/>
        <w:outlineLvl w:val="1"/>
        <w:rPr>
          <w:rStyle w:val="20"/>
          <w:rFonts w:hint="eastAsia" w:ascii="黑体" w:hAnsi="黑体" w:eastAsia="黑体"/>
          <w:b w:val="0"/>
          <w:color w:val="auto"/>
          <w:highlight w:val="none"/>
        </w:rPr>
      </w:pPr>
      <w:bookmarkStart w:id="94" w:name="_Toc21465"/>
      <w:bookmarkStart w:id="95" w:name="_Toc2986"/>
      <w:bookmarkStart w:id="96" w:name="_Toc15396612"/>
      <w:bookmarkStart w:id="97" w:name="_Toc15377221"/>
      <w:r>
        <w:rPr>
          <w:rStyle w:val="20"/>
          <w:rFonts w:hint="eastAsia" w:ascii="黑体" w:hAnsi="黑体" w:eastAsia="黑体"/>
          <w:b w:val="0"/>
          <w:color w:val="auto"/>
          <w:highlight w:val="none"/>
        </w:rPr>
        <w:t>其他重要事项的情况说明</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color w:val="auto"/>
          <w:kern w:val="2"/>
          <w:sz w:val="32"/>
          <w:szCs w:val="32"/>
          <w:lang w:val="en-US" w:eastAsia="zh-CN" w:bidi="ar-SA"/>
        </w:rPr>
      </w:pPr>
      <w:bookmarkStart w:id="98" w:name="_Toc15377222"/>
      <w:r>
        <w:rPr>
          <w:rFonts w:hint="eastAsia" w:ascii="楷体_GB2312" w:hAnsi="楷体_GB2312" w:eastAsia="楷体_GB2312" w:cs="楷体_GB2312"/>
          <w:b/>
          <w:bCs/>
          <w:color w:val="auto"/>
          <w:kern w:val="2"/>
          <w:sz w:val="32"/>
          <w:szCs w:val="32"/>
          <w:lang w:val="en-US" w:eastAsia="zh-CN" w:bidi="ar-SA"/>
        </w:rPr>
        <w:t>（一）机关运行经费支出情况</w:t>
      </w:r>
      <w:bookmarkEnd w:id="98"/>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hAnsi="仿宋_GB2312" w:eastAsia="仿宋_GB2312"/>
          <w:spacing w:val="-24"/>
          <w:w w:val="95"/>
          <w:sz w:val="32"/>
          <w:szCs w:val="24"/>
        </w:rPr>
        <w:t>市住</w:t>
      </w:r>
      <w:r>
        <w:rPr>
          <w:rFonts w:hint="eastAsia" w:ascii="仿宋_GB2312" w:hAnsi="仿宋_GB2312" w:eastAsia="仿宋_GB2312"/>
          <w:w w:val="95"/>
          <w:sz w:val="32"/>
          <w:szCs w:val="24"/>
        </w:rPr>
        <w:t>房城乡建设局机关</w:t>
      </w:r>
      <w:r>
        <w:rPr>
          <w:rFonts w:hint="eastAsia" w:ascii="仿宋_GB2312" w:eastAsia="仿宋_GB2312"/>
          <w:color w:val="auto"/>
          <w:sz w:val="32"/>
          <w:szCs w:val="32"/>
          <w:highlight w:val="none"/>
        </w:rPr>
        <w:t>运行经费支出</w:t>
      </w:r>
      <w:r>
        <w:rPr>
          <w:rFonts w:hint="eastAsia" w:ascii="仿宋_GB2312" w:eastAsia="仿宋_GB2312"/>
          <w:color w:val="auto"/>
          <w:sz w:val="32"/>
          <w:szCs w:val="32"/>
          <w:highlight w:val="none"/>
          <w:lang w:val="en-US" w:eastAsia="zh-CN"/>
        </w:rPr>
        <w:t>225.63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10.47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4.4</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主要原因是严格</w:t>
      </w:r>
      <w:r>
        <w:rPr>
          <w:rFonts w:hint="eastAsia" w:ascii="仿宋_GB2312" w:eastAsia="仿宋_GB2312"/>
          <w:color w:val="auto"/>
          <w:sz w:val="32"/>
          <w:szCs w:val="32"/>
          <w:highlight w:val="none"/>
          <w:lang w:val="en-US" w:eastAsia="zh-CN"/>
        </w:rPr>
        <w:t>按照“过紧日子”要求，有效压缩机关运行成本。</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color w:val="auto"/>
          <w:kern w:val="2"/>
          <w:sz w:val="32"/>
          <w:szCs w:val="32"/>
          <w:lang w:val="en-US" w:eastAsia="zh-CN" w:bidi="ar-SA"/>
        </w:rPr>
      </w:pPr>
      <w:bookmarkStart w:id="99" w:name="_Toc15377223"/>
      <w:r>
        <w:rPr>
          <w:rFonts w:hint="eastAsia" w:ascii="楷体_GB2312" w:hAnsi="楷体_GB2312" w:eastAsia="楷体_GB2312" w:cs="楷体_GB2312"/>
          <w:b/>
          <w:bCs/>
          <w:color w:val="auto"/>
          <w:kern w:val="2"/>
          <w:sz w:val="32"/>
          <w:szCs w:val="32"/>
          <w:lang w:val="en-US" w:eastAsia="zh-CN" w:bidi="ar-SA"/>
        </w:rPr>
        <w:t>（二）政府采购支出情况</w:t>
      </w:r>
      <w:bookmarkEnd w:id="99"/>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广元市住房和城乡建设局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9.05</w:t>
      </w:r>
      <w:r>
        <w:rPr>
          <w:rFonts w:hint="eastAsia" w:ascii="仿宋_GB2312" w:eastAsia="仿宋_GB2312"/>
          <w:color w:val="auto"/>
          <w:sz w:val="32"/>
          <w:szCs w:val="32"/>
          <w:highlight w:val="none"/>
        </w:rPr>
        <w:t>万元，其中：授予中小企业合同金额</w:t>
      </w:r>
      <w:r>
        <w:rPr>
          <w:rFonts w:hint="eastAsia" w:ascii="仿宋_GB2312" w:eastAsia="仿宋_GB2312"/>
          <w:color w:val="auto"/>
          <w:sz w:val="32"/>
          <w:szCs w:val="32"/>
          <w:highlight w:val="none"/>
          <w:lang w:val="en-US" w:eastAsia="zh-CN"/>
        </w:rPr>
        <w:t>9.05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9.05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color w:val="auto"/>
          <w:kern w:val="2"/>
          <w:sz w:val="32"/>
          <w:szCs w:val="32"/>
          <w:lang w:val="en-US" w:eastAsia="zh-CN" w:bidi="ar-SA"/>
        </w:rPr>
      </w:pPr>
      <w:bookmarkStart w:id="100" w:name="_Toc15377224"/>
      <w:r>
        <w:rPr>
          <w:rFonts w:hint="eastAsia" w:ascii="楷体_GB2312" w:hAnsi="楷体_GB2312" w:eastAsia="楷体_GB2312" w:cs="楷体_GB2312"/>
          <w:b/>
          <w:bCs/>
          <w:color w:val="auto"/>
          <w:kern w:val="2"/>
          <w:sz w:val="32"/>
          <w:szCs w:val="32"/>
          <w:lang w:val="en-US" w:eastAsia="zh-CN" w:bidi="ar-SA"/>
        </w:rPr>
        <w:t>（三）国有资产占有使用情况</w:t>
      </w:r>
      <w:bookmarkEnd w:id="100"/>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广元市住房和城乡建设局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w:t>
      </w:r>
      <w:r>
        <w:rPr>
          <w:rFonts w:hint="eastAsia" w:ascii="仿宋_GB2312" w:hAnsi="仿宋_GB2312" w:eastAsia="仿宋_GB2312"/>
          <w:spacing w:val="4"/>
          <w:w w:val="99"/>
          <w:sz w:val="32"/>
          <w:szCs w:val="24"/>
        </w:rPr>
        <w:t>主要是用于市建设及维护、建筑行业</w:t>
      </w:r>
      <w:r>
        <w:rPr>
          <w:rFonts w:hint="eastAsia" w:ascii="仿宋_GB2312" w:hAnsi="仿宋_GB2312" w:eastAsia="仿宋_GB2312"/>
          <w:spacing w:val="6"/>
          <w:w w:val="99"/>
          <w:sz w:val="32"/>
          <w:szCs w:val="24"/>
        </w:rPr>
        <w:t>管理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（四）预算绩效管理情况</w:t>
      </w:r>
    </w:p>
    <w:p>
      <w:pPr>
        <w:pStyle w:val="2"/>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w w:val="95"/>
          <w:sz w:val="32"/>
          <w:szCs w:val="24"/>
        </w:rPr>
        <w:t>网络及信息维护经费</w:t>
      </w:r>
      <w:r>
        <w:rPr>
          <w:rFonts w:hint="eastAsia" w:ascii="仿宋_GB2312" w:hAnsi="仿宋_GB2312" w:eastAsia="仿宋_GB2312" w:cs="仿宋_GB2312"/>
          <w:color w:val="auto"/>
          <w:sz w:val="32"/>
          <w:szCs w:val="32"/>
          <w:highlight w:val="none"/>
        </w:rPr>
        <w:t>等</w:t>
      </w:r>
      <w:r>
        <w:rPr>
          <w:rFonts w:hint="eastAsia" w:hAnsi="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54</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54</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r>
        <w:rPr>
          <w:rFonts w:ascii="仿宋_GB2312" w:eastAsia="仿宋_GB2312"/>
          <w:b/>
          <w:color w:val="auto"/>
          <w:sz w:val="32"/>
          <w:szCs w:val="32"/>
          <w:highlight w:val="none"/>
        </w:rPr>
        <w:br w:type="page"/>
      </w:r>
    </w:p>
    <w:p>
      <w:pPr>
        <w:numPr>
          <w:ilvl w:val="0"/>
          <w:numId w:val="2"/>
        </w:numPr>
        <w:spacing w:line="600" w:lineRule="exact"/>
        <w:ind w:firstLine="660" w:firstLineChars="150"/>
        <w:jc w:val="center"/>
        <w:outlineLvl w:val="0"/>
        <w:rPr>
          <w:rStyle w:val="19"/>
          <w:rFonts w:ascii="黑体" w:hAnsi="黑体" w:eastAsia="黑体"/>
          <w:b w:val="0"/>
          <w:color w:val="auto"/>
          <w:highlight w:val="none"/>
        </w:rPr>
      </w:pPr>
      <w:bookmarkStart w:id="101" w:name="_Toc23921"/>
      <w:bookmarkStart w:id="102" w:name="_Toc15377225"/>
      <w:bookmarkStart w:id="103" w:name="_Toc15396613"/>
      <w:bookmarkStart w:id="104" w:name="_Toc27657"/>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101"/>
      <w:bookmarkEnd w:id="102"/>
      <w:bookmarkEnd w:id="103"/>
      <w:bookmarkEnd w:id="104"/>
    </w:p>
    <w:p>
      <w:pPr>
        <w:spacing w:line="600" w:lineRule="exact"/>
        <w:jc w:val="left"/>
        <w:rPr>
          <w:rFonts w:ascii="宋体"/>
          <w:b/>
          <w:color w:val="auto"/>
          <w:sz w:val="44"/>
          <w:szCs w:val="44"/>
          <w:highlight w:val="none"/>
        </w:rPr>
      </w:pPr>
    </w:p>
    <w:p>
      <w:pPr>
        <w:pStyle w:val="28"/>
        <w:spacing w:line="560" w:lineRule="exact"/>
        <w:ind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8"/>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土地房屋征收拆迁中心转来棚改经费、市直机关工委转来党建阵地建设经费</w:t>
      </w:r>
      <w:r>
        <w:rPr>
          <w:rFonts w:hint="eastAsia" w:ascii="仿宋_GB2312" w:eastAsia="仿宋_GB2312"/>
          <w:color w:val="auto"/>
          <w:sz w:val="32"/>
          <w:szCs w:val="32"/>
          <w:highlight w:val="none"/>
        </w:rPr>
        <w:t>等</w:t>
      </w: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rPr>
        <w:t xml:space="preserve"> </w:t>
      </w:r>
    </w:p>
    <w:p>
      <w:pPr>
        <w:pStyle w:val="28"/>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8"/>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numPr>
          <w:ilvl w:val="0"/>
          <w:numId w:val="0"/>
        </w:numPr>
        <w:kinsoku/>
        <w:wordWrap/>
        <w:overflowPunct/>
        <w:topLinePunct w:val="0"/>
        <w:bidi w:val="0"/>
        <w:snapToGrid/>
        <w:spacing w:line="590" w:lineRule="exact"/>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5.一般公共服务（类）商贸事务（款）招商引资（项）： 反映用于招商引资、优化经济环境等方面的支出。</w:t>
      </w:r>
    </w:p>
    <w:p>
      <w:pPr>
        <w:keepNext w:val="0"/>
        <w:keepLines w:val="0"/>
        <w:pageBreakBefore w:val="0"/>
        <w:widowControl w:val="0"/>
        <w:numPr>
          <w:ilvl w:val="0"/>
          <w:numId w:val="0"/>
        </w:numPr>
        <w:kinsoku/>
        <w:wordWrap/>
        <w:overflowPunct/>
        <w:topLinePunct w:val="0"/>
        <w:bidi w:val="0"/>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Calibri" w:eastAsia="仿宋_GB2312" w:cs="仿宋"/>
          <w:color w:val="auto"/>
          <w:kern w:val="0"/>
          <w:sz w:val="32"/>
          <w:szCs w:val="32"/>
          <w:highlight w:val="none"/>
          <w:lang w:val="en-US" w:eastAsia="zh-CN" w:bidi="ar-SA"/>
        </w:rPr>
        <w:t>6.</w:t>
      </w:r>
      <w:r>
        <w:rPr>
          <w:rStyle w:val="17"/>
          <w:rFonts w:hint="eastAsia" w:ascii="仿宋_GB2312" w:hAnsi="仿宋_GB2312" w:eastAsia="仿宋_GB2312" w:cs="仿宋_GB2312"/>
          <w:b w:val="0"/>
          <w:bCs w:val="0"/>
          <w:color w:val="auto"/>
          <w:sz w:val="32"/>
          <w:szCs w:val="32"/>
          <w:highlight w:val="none"/>
        </w:rPr>
        <w:t>教育（类）</w:t>
      </w:r>
      <w:r>
        <w:rPr>
          <w:rStyle w:val="17"/>
          <w:rFonts w:hint="eastAsia" w:ascii="仿宋_GB2312" w:hAnsi="仿宋_GB2312" w:eastAsia="仿宋_GB2312" w:cs="仿宋_GB2312"/>
          <w:b w:val="0"/>
          <w:bCs w:val="0"/>
          <w:color w:val="auto"/>
          <w:sz w:val="32"/>
          <w:szCs w:val="32"/>
          <w:highlight w:val="none"/>
          <w:lang w:eastAsia="zh-CN"/>
        </w:rPr>
        <w:t>进修及培训</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培训支出</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反映各部门安排的用于培训的支出。教育部门的师资培训，党校、行政学院等专业干部教育机构的支出，以及退役士兵、转业军官的培训支出，不在本科目反映。</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lang w:val="en-US" w:eastAsia="zh-CN"/>
        </w:rPr>
        <w:t>7</w:t>
      </w:r>
      <w:r>
        <w:rPr>
          <w:rFonts w:ascii="仿宋_GB2312" w:eastAsia="仿宋_GB2312" w:cs="仿宋_GB2312"/>
          <w:color w:val="000000"/>
          <w:sz w:val="32"/>
          <w:szCs w:val="32"/>
        </w:rPr>
        <w:t>.</w:t>
      </w:r>
      <w:r>
        <w:rPr>
          <w:rStyle w:val="17"/>
          <w:rFonts w:hint="eastAsia" w:ascii="仿宋_GB2312" w:eastAsia="仿宋_GB2312" w:cs="仿宋_GB2312"/>
          <w:b w:val="0"/>
          <w:bCs w:val="0"/>
          <w:color w:val="000000"/>
          <w:sz w:val="32"/>
          <w:szCs w:val="32"/>
        </w:rPr>
        <w:t>社会保障和就业（类）行政事业单位养老支出（款）机关事业单位基本养老保险缴费支出（项）</w:t>
      </w:r>
      <w:r>
        <w:rPr>
          <w:rFonts w:hint="eastAsia" w:ascii="仿宋_GB2312" w:eastAsia="仿宋_GB2312" w:cs="仿宋_GB2312"/>
          <w:color w:val="000000"/>
          <w:sz w:val="32"/>
          <w:szCs w:val="32"/>
        </w:rPr>
        <w:t>：指反映机关事业单位实施养老保险制度由单位缴纳的基本养老保险支出。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8</w:t>
      </w:r>
      <w:r>
        <w:rPr>
          <w:rFonts w:ascii="仿宋_GB2312" w:eastAsia="仿宋_GB2312" w:cs="仿宋_GB2312"/>
          <w:color w:val="000000"/>
          <w:sz w:val="32"/>
          <w:szCs w:val="32"/>
        </w:rPr>
        <w:t>.</w:t>
      </w:r>
      <w:r>
        <w:rPr>
          <w:rStyle w:val="17"/>
          <w:rFonts w:hint="eastAsia" w:ascii="仿宋_GB2312" w:eastAsia="仿宋_GB2312" w:cs="仿宋_GB2312"/>
          <w:b w:val="0"/>
          <w:bCs w:val="0"/>
          <w:color w:val="000000"/>
          <w:sz w:val="32"/>
          <w:szCs w:val="32"/>
        </w:rPr>
        <w:t>社会保障和就业（类）行政事业单位养老支出（款）  机关事业单位职业年金缴费支出（项）</w:t>
      </w:r>
      <w:r>
        <w:rPr>
          <w:rFonts w:hint="eastAsia" w:ascii="仿宋_GB2312" w:eastAsia="仿宋_GB2312" w:cs="仿宋_GB2312"/>
          <w:color w:val="000000"/>
          <w:sz w:val="32"/>
          <w:szCs w:val="32"/>
        </w:rPr>
        <w:t>：指反映机关事业单位实施养老保险制度由单位缴纳的</w:t>
      </w:r>
      <w:r>
        <w:rPr>
          <w:rFonts w:hint="eastAsia" w:ascii="仿宋_GB2312" w:eastAsia="仿宋_GB2312" w:cs="仿宋_GB2312"/>
          <w:color w:val="000000"/>
          <w:sz w:val="32"/>
          <w:szCs w:val="32"/>
          <w:lang w:eastAsia="zh-CN"/>
        </w:rPr>
        <w:t>职业年金</w:t>
      </w:r>
      <w:r>
        <w:rPr>
          <w:rFonts w:hint="eastAsia" w:ascii="仿宋_GB2312" w:eastAsia="仿宋_GB2312" w:cs="仿宋_GB2312"/>
          <w:color w:val="000000"/>
          <w:sz w:val="32"/>
          <w:szCs w:val="32"/>
        </w:rPr>
        <w:t>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9</w:t>
      </w:r>
      <w:r>
        <w:rPr>
          <w:rFonts w:ascii="仿宋_GB2312" w:eastAsia="仿宋_GB2312" w:cs="仿宋_GB2312"/>
          <w:color w:val="000000"/>
          <w:sz w:val="32"/>
          <w:szCs w:val="32"/>
        </w:rPr>
        <w:t>.</w:t>
      </w:r>
      <w:r>
        <w:rPr>
          <w:rStyle w:val="17"/>
          <w:rFonts w:hint="eastAsia" w:ascii="仿宋_GB2312" w:eastAsia="仿宋_GB2312" w:cs="仿宋_GB2312"/>
          <w:b w:val="0"/>
          <w:bCs w:val="0"/>
          <w:color w:val="000000"/>
          <w:sz w:val="32"/>
          <w:szCs w:val="32"/>
        </w:rPr>
        <w:t>社会保障和就业（类）抚恤（款）死亡抚恤（项）</w:t>
      </w:r>
      <w:r>
        <w:rPr>
          <w:rFonts w:hint="eastAsia" w:ascii="仿宋_GB2312" w:eastAsia="仿宋_GB2312" w:cs="仿宋_GB2312"/>
          <w:color w:val="000000"/>
          <w:sz w:val="32"/>
          <w:szCs w:val="32"/>
        </w:rPr>
        <w:t>：反映</w:t>
      </w:r>
      <w:r>
        <w:rPr>
          <w:rFonts w:hint="eastAsia" w:ascii="仿宋_GB2312" w:eastAsia="仿宋_GB2312" w:cs="仿宋_GB2312"/>
          <w:color w:val="000000"/>
          <w:sz w:val="32"/>
          <w:szCs w:val="32"/>
          <w:lang w:eastAsia="zh-CN"/>
        </w:rPr>
        <w:t>按规定用于烈士和牺牲、病故人员家属的一次性和定期抚恤金以及丧葬补助费</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10.社会保障和就业（类）其他社会保障和就业支出（款）其他社会保障和就业支出（项）：反映除上述项目以外其他用于社会保障和就业方面的支出。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11</w:t>
      </w:r>
      <w:r>
        <w:rPr>
          <w:rFonts w:ascii="仿宋_GB2312" w:eastAsia="仿宋_GB2312" w:cs="仿宋_GB2312"/>
          <w:color w:val="000000"/>
          <w:sz w:val="32"/>
          <w:szCs w:val="32"/>
        </w:rPr>
        <w:t>.</w:t>
      </w:r>
      <w:r>
        <w:rPr>
          <w:rStyle w:val="17"/>
          <w:rFonts w:hint="eastAsia" w:ascii="仿宋_GB2312" w:eastAsia="仿宋_GB2312" w:cs="仿宋_GB2312"/>
          <w:b w:val="0"/>
          <w:bCs w:val="0"/>
          <w:color w:val="000000"/>
          <w:sz w:val="32"/>
          <w:szCs w:val="32"/>
        </w:rPr>
        <w:t>卫生健康（类）行政事业单位医疗（款）</w:t>
      </w:r>
      <w:r>
        <w:rPr>
          <w:rStyle w:val="17"/>
          <w:rFonts w:hint="eastAsia" w:ascii="仿宋_GB2312" w:eastAsia="仿宋_GB2312" w:cs="仿宋_GB2312"/>
          <w:b w:val="0"/>
          <w:bCs w:val="0"/>
          <w:color w:val="000000"/>
          <w:sz w:val="32"/>
          <w:szCs w:val="32"/>
          <w:lang w:eastAsia="zh-CN"/>
        </w:rPr>
        <w:t>行政</w:t>
      </w:r>
      <w:r>
        <w:rPr>
          <w:rStyle w:val="17"/>
          <w:rFonts w:hint="eastAsia" w:ascii="仿宋_GB2312" w:eastAsia="仿宋_GB2312" w:cs="仿宋_GB2312"/>
          <w:b w:val="0"/>
          <w:bCs w:val="0"/>
          <w:color w:val="000000"/>
          <w:sz w:val="32"/>
          <w:szCs w:val="32"/>
        </w:rPr>
        <w:t>单位医疗（项）</w:t>
      </w:r>
      <w:r>
        <w:rPr>
          <w:rFonts w:hint="eastAsia" w:ascii="仿宋_GB2312" w:eastAsia="仿宋_GB2312" w:cs="仿宋_GB2312"/>
          <w:color w:val="000000"/>
          <w:sz w:val="32"/>
          <w:szCs w:val="32"/>
        </w:rPr>
        <w:t>：指反映财政部门集中安排的</w:t>
      </w:r>
      <w:r>
        <w:rPr>
          <w:rFonts w:hint="eastAsia" w:ascii="仿宋_GB2312" w:eastAsia="仿宋_GB2312" w:cs="仿宋_GB2312"/>
          <w:color w:val="000000"/>
          <w:sz w:val="32"/>
          <w:szCs w:val="32"/>
          <w:lang w:eastAsia="zh-CN"/>
        </w:rPr>
        <w:t>行政</w:t>
      </w:r>
      <w:r>
        <w:rPr>
          <w:rFonts w:hint="eastAsia" w:ascii="仿宋_GB2312" w:eastAsia="仿宋_GB2312" w:cs="仿宋_GB2312"/>
          <w:color w:val="000000"/>
          <w:sz w:val="32"/>
          <w:szCs w:val="32"/>
        </w:rPr>
        <w:t>单位基本医疗保险缴费经费。</w:t>
      </w:r>
    </w:p>
    <w:p>
      <w:pPr>
        <w:keepNext w:val="0"/>
        <w:keepLines w:val="0"/>
        <w:pageBreakBefore w:val="0"/>
        <w:widowControl w:val="0"/>
        <w:kinsoku/>
        <w:wordWrap/>
        <w:overflowPunct/>
        <w:topLinePunct w:val="0"/>
        <w:bidi w:val="0"/>
        <w:snapToGrid/>
        <w:spacing w:line="590" w:lineRule="exact"/>
        <w:ind w:firstLine="640" w:firstLineChars="200"/>
        <w:textAlignment w:val="auto"/>
        <w:rPr>
          <w:rStyle w:val="17"/>
          <w:rFonts w:hint="eastAsia" w:ascii="仿宋_GB2312" w:eastAsia="仿宋_GB2312" w:cs="仿宋_GB2312"/>
          <w:b w:val="0"/>
          <w:bCs w:val="0"/>
          <w:color w:val="000000"/>
          <w:sz w:val="32"/>
          <w:szCs w:val="32"/>
          <w:lang w:eastAsia="zh-CN"/>
        </w:rPr>
      </w:pPr>
      <w:r>
        <w:rPr>
          <w:rFonts w:hint="eastAsia" w:ascii="仿宋_GB2312" w:eastAsia="仿宋_GB2312" w:cs="仿宋_GB2312"/>
          <w:color w:val="000000"/>
          <w:sz w:val="32"/>
          <w:szCs w:val="32"/>
          <w:lang w:val="en-US" w:eastAsia="zh-CN"/>
        </w:rPr>
        <w:t>12</w:t>
      </w:r>
      <w:r>
        <w:rPr>
          <w:rFonts w:ascii="仿宋_GB2312" w:eastAsia="仿宋_GB2312" w:cs="仿宋_GB2312"/>
          <w:color w:val="000000"/>
          <w:sz w:val="32"/>
          <w:szCs w:val="32"/>
        </w:rPr>
        <w:t>.</w:t>
      </w:r>
      <w:r>
        <w:rPr>
          <w:rStyle w:val="17"/>
          <w:rFonts w:hint="eastAsia" w:ascii="仿宋_GB2312" w:eastAsia="仿宋_GB2312" w:cs="仿宋_GB2312"/>
          <w:b w:val="0"/>
          <w:bCs w:val="0"/>
          <w:sz w:val="32"/>
          <w:szCs w:val="32"/>
        </w:rPr>
        <w:t>节能环保</w:t>
      </w:r>
      <w:r>
        <w:rPr>
          <w:rStyle w:val="17"/>
          <w:rFonts w:hint="eastAsia" w:ascii="仿宋_GB2312" w:eastAsia="仿宋_GB2312" w:cs="仿宋_GB2312"/>
          <w:b w:val="0"/>
          <w:bCs w:val="0"/>
          <w:color w:val="000000"/>
          <w:sz w:val="32"/>
          <w:szCs w:val="32"/>
        </w:rPr>
        <w:t>（类）</w:t>
      </w:r>
      <w:r>
        <w:rPr>
          <w:rStyle w:val="17"/>
          <w:rFonts w:hint="eastAsia" w:ascii="仿宋_GB2312" w:eastAsia="仿宋_GB2312" w:cs="仿宋_GB2312"/>
          <w:b w:val="0"/>
          <w:bCs w:val="0"/>
          <w:color w:val="000000"/>
          <w:sz w:val="32"/>
          <w:szCs w:val="32"/>
          <w:lang w:eastAsia="zh-CN"/>
        </w:rPr>
        <w:t>污染防治</w:t>
      </w:r>
      <w:r>
        <w:rPr>
          <w:rStyle w:val="17"/>
          <w:rFonts w:hint="eastAsia" w:ascii="仿宋_GB2312" w:eastAsia="仿宋_GB2312" w:cs="仿宋_GB2312"/>
          <w:b w:val="0"/>
          <w:bCs w:val="0"/>
          <w:color w:val="000000"/>
          <w:sz w:val="32"/>
          <w:szCs w:val="32"/>
        </w:rPr>
        <w:t>（</w:t>
      </w:r>
      <w:r>
        <w:rPr>
          <w:rStyle w:val="17"/>
          <w:rFonts w:hint="eastAsia" w:ascii="仿宋_GB2312" w:eastAsia="仿宋_GB2312" w:cs="仿宋_GB2312"/>
          <w:b w:val="0"/>
          <w:bCs w:val="0"/>
          <w:sz w:val="32"/>
          <w:szCs w:val="32"/>
        </w:rPr>
        <w:t>款）</w:t>
      </w:r>
      <w:r>
        <w:rPr>
          <w:rStyle w:val="17"/>
          <w:rFonts w:hint="eastAsia" w:ascii="仿宋_GB2312" w:eastAsia="仿宋_GB2312" w:cs="仿宋_GB2312"/>
          <w:b w:val="0"/>
          <w:bCs w:val="0"/>
          <w:sz w:val="32"/>
          <w:szCs w:val="32"/>
          <w:lang w:eastAsia="zh-CN"/>
        </w:rPr>
        <w:t>水体</w:t>
      </w:r>
      <w:r>
        <w:rPr>
          <w:rStyle w:val="17"/>
          <w:rFonts w:hint="eastAsia" w:ascii="仿宋_GB2312" w:eastAsia="仿宋_GB2312" w:cs="仿宋_GB2312"/>
          <w:b w:val="0"/>
          <w:bCs w:val="0"/>
          <w:color w:val="000000"/>
          <w:sz w:val="32"/>
          <w:szCs w:val="32"/>
        </w:rPr>
        <w:t>（项）：</w:t>
      </w:r>
      <w:r>
        <w:rPr>
          <w:rStyle w:val="17"/>
          <w:rFonts w:hint="eastAsia" w:ascii="仿宋_GB2312" w:eastAsia="仿宋_GB2312" w:cs="仿宋_GB2312"/>
          <w:b w:val="0"/>
          <w:bCs w:val="0"/>
          <w:color w:val="000000"/>
          <w:sz w:val="32"/>
          <w:szCs w:val="32"/>
          <w:lang w:eastAsia="zh-CN"/>
        </w:rPr>
        <w:t>反映政府在排水、污水处理、水污染防治、湖库生态环境保护、水源地保护、国土江河综合整治、河流治理与保护、地下水修复与保护等方面的支出。</w:t>
      </w:r>
    </w:p>
    <w:p>
      <w:pPr>
        <w:keepNext w:val="0"/>
        <w:keepLines w:val="0"/>
        <w:pageBreakBefore w:val="0"/>
        <w:widowControl w:val="0"/>
        <w:kinsoku/>
        <w:wordWrap/>
        <w:overflowPunct/>
        <w:topLinePunct w:val="0"/>
        <w:bidi w:val="0"/>
        <w:snapToGrid/>
        <w:spacing w:line="590" w:lineRule="exact"/>
        <w:ind w:firstLine="640" w:firstLineChars="200"/>
        <w:textAlignment w:val="auto"/>
        <w:rPr>
          <w:rStyle w:val="17"/>
          <w:rFonts w:ascii="仿宋_GB2312" w:eastAsia="仿宋_GB2312"/>
          <w:b w:val="0"/>
          <w:bCs w:val="0"/>
          <w:color w:val="000000"/>
          <w:sz w:val="32"/>
          <w:szCs w:val="32"/>
        </w:rPr>
      </w:pPr>
      <w:r>
        <w:rPr>
          <w:rStyle w:val="17"/>
          <w:rFonts w:hint="eastAsia" w:ascii="仿宋_GB2312" w:eastAsia="仿宋_GB2312" w:cs="仿宋_GB2312"/>
          <w:b w:val="0"/>
          <w:bCs w:val="0"/>
          <w:color w:val="000000"/>
          <w:sz w:val="32"/>
          <w:szCs w:val="32"/>
          <w:lang w:val="en-US" w:eastAsia="zh-CN"/>
        </w:rPr>
        <w:t>13</w:t>
      </w:r>
      <w:r>
        <w:rPr>
          <w:rStyle w:val="17"/>
          <w:rFonts w:ascii="仿宋_GB2312" w:eastAsia="仿宋_GB2312" w:cs="仿宋_GB2312"/>
          <w:b w:val="0"/>
          <w:bCs w:val="0"/>
          <w:color w:val="000000"/>
          <w:sz w:val="32"/>
          <w:szCs w:val="32"/>
        </w:rPr>
        <w:t>.</w:t>
      </w:r>
      <w:r>
        <w:rPr>
          <w:rStyle w:val="17"/>
          <w:rFonts w:hint="eastAsia" w:ascii="仿宋_GB2312" w:eastAsia="仿宋_GB2312" w:cs="仿宋_GB2312"/>
          <w:b w:val="0"/>
          <w:bCs w:val="0"/>
          <w:sz w:val="32"/>
          <w:szCs w:val="32"/>
        </w:rPr>
        <w:t>城乡社区</w:t>
      </w:r>
      <w:r>
        <w:rPr>
          <w:rStyle w:val="17"/>
          <w:rFonts w:hint="eastAsia" w:ascii="仿宋_GB2312" w:eastAsia="仿宋_GB2312" w:cs="仿宋_GB2312"/>
          <w:b w:val="0"/>
          <w:bCs w:val="0"/>
          <w:color w:val="000000"/>
          <w:sz w:val="32"/>
          <w:szCs w:val="32"/>
        </w:rPr>
        <w:t>（类）城乡社区管理事务（款）行政运行（项）：指反映城乡社区管理</w:t>
      </w:r>
      <w:r>
        <w:rPr>
          <w:rStyle w:val="17"/>
          <w:rFonts w:hint="eastAsia" w:ascii="仿宋_GB2312" w:eastAsia="仿宋_GB2312" w:cs="仿宋_GB2312"/>
          <w:b w:val="0"/>
          <w:bCs w:val="0"/>
          <w:color w:val="000000"/>
          <w:sz w:val="32"/>
          <w:szCs w:val="32"/>
          <w:lang w:eastAsia="zh-CN"/>
        </w:rPr>
        <w:t>事务</w:t>
      </w:r>
      <w:r>
        <w:rPr>
          <w:rStyle w:val="17"/>
          <w:rFonts w:hint="eastAsia" w:ascii="仿宋_GB2312" w:eastAsia="仿宋_GB2312" w:cs="仿宋_GB2312"/>
          <w:b w:val="0"/>
          <w:bCs w:val="0"/>
          <w:color w:val="000000"/>
          <w:sz w:val="32"/>
          <w:szCs w:val="32"/>
        </w:rPr>
        <w:t>支出。</w:t>
      </w:r>
    </w:p>
    <w:p>
      <w:pPr>
        <w:keepNext w:val="0"/>
        <w:keepLines w:val="0"/>
        <w:pageBreakBefore w:val="0"/>
        <w:widowControl w:val="0"/>
        <w:kinsoku/>
        <w:wordWrap/>
        <w:overflowPunct/>
        <w:topLinePunct w:val="0"/>
        <w:bidi w:val="0"/>
        <w:snapToGrid/>
        <w:spacing w:line="590" w:lineRule="exact"/>
        <w:ind w:firstLine="640" w:firstLineChars="200"/>
        <w:textAlignment w:val="auto"/>
        <w:rPr>
          <w:rStyle w:val="17"/>
          <w:rFonts w:ascii="仿宋_GB2312" w:eastAsia="仿宋_GB2312" w:cs="仿宋_GB2312"/>
          <w:b w:val="0"/>
          <w:bCs w:val="0"/>
          <w:color w:val="000000"/>
          <w:sz w:val="32"/>
          <w:szCs w:val="32"/>
        </w:rPr>
      </w:pPr>
      <w:r>
        <w:rPr>
          <w:rStyle w:val="17"/>
          <w:rFonts w:hint="eastAsia" w:ascii="仿宋_GB2312" w:eastAsia="仿宋_GB2312" w:cs="仿宋_GB2312"/>
          <w:b w:val="0"/>
          <w:bCs w:val="0"/>
          <w:color w:val="000000"/>
          <w:sz w:val="32"/>
          <w:szCs w:val="32"/>
          <w:lang w:val="en-US" w:eastAsia="zh-CN"/>
        </w:rPr>
        <w:t>14</w:t>
      </w:r>
      <w:r>
        <w:rPr>
          <w:rStyle w:val="17"/>
          <w:rFonts w:ascii="仿宋_GB2312" w:eastAsia="仿宋_GB2312" w:cs="仿宋_GB2312"/>
          <w:b w:val="0"/>
          <w:bCs w:val="0"/>
          <w:color w:val="000000"/>
          <w:sz w:val="32"/>
          <w:szCs w:val="32"/>
        </w:rPr>
        <w:t>.</w:t>
      </w:r>
      <w:r>
        <w:rPr>
          <w:rStyle w:val="17"/>
          <w:rFonts w:hint="eastAsia" w:ascii="仿宋_GB2312" w:eastAsia="仿宋_GB2312" w:cs="仿宋_GB2312"/>
          <w:b w:val="0"/>
          <w:bCs w:val="0"/>
          <w:sz w:val="32"/>
          <w:szCs w:val="32"/>
        </w:rPr>
        <w:t>城乡社区</w:t>
      </w:r>
      <w:r>
        <w:rPr>
          <w:rStyle w:val="17"/>
          <w:rFonts w:hint="eastAsia" w:ascii="仿宋_GB2312" w:eastAsia="仿宋_GB2312" w:cs="仿宋_GB2312"/>
          <w:b w:val="0"/>
          <w:bCs w:val="0"/>
          <w:color w:val="000000"/>
          <w:sz w:val="32"/>
          <w:szCs w:val="32"/>
        </w:rPr>
        <w:t>（类）城乡社区管理事务（款）</w:t>
      </w:r>
      <w:r>
        <w:rPr>
          <w:rStyle w:val="17"/>
          <w:rFonts w:hint="eastAsia" w:ascii="仿宋_GB2312" w:eastAsia="仿宋_GB2312" w:cs="仿宋_GB2312"/>
          <w:b w:val="0"/>
          <w:bCs w:val="0"/>
          <w:color w:val="000000"/>
          <w:sz w:val="32"/>
          <w:szCs w:val="32"/>
          <w:lang w:eastAsia="zh-CN"/>
        </w:rPr>
        <w:t>一般行政管理事务</w:t>
      </w:r>
      <w:r>
        <w:rPr>
          <w:rStyle w:val="17"/>
          <w:rFonts w:hint="eastAsia" w:ascii="仿宋_GB2312" w:eastAsia="仿宋_GB2312" w:cs="仿宋_GB2312"/>
          <w:b w:val="0"/>
          <w:bCs w:val="0"/>
          <w:color w:val="000000"/>
          <w:sz w:val="32"/>
          <w:szCs w:val="32"/>
        </w:rPr>
        <w:t>（项）：指反映</w:t>
      </w:r>
      <w:r>
        <w:rPr>
          <w:rStyle w:val="17"/>
          <w:rFonts w:hint="eastAsia" w:ascii="仿宋_GB2312" w:eastAsia="仿宋_GB2312" w:cs="仿宋_GB2312"/>
          <w:b w:val="0"/>
          <w:bCs w:val="0"/>
          <w:color w:val="000000"/>
          <w:sz w:val="32"/>
          <w:szCs w:val="32"/>
          <w:lang w:eastAsia="zh-CN"/>
        </w:rPr>
        <w:t>行政单位未单独设置项级科目的其他项目支出</w:t>
      </w:r>
      <w:r>
        <w:rPr>
          <w:rStyle w:val="17"/>
          <w:rFonts w:hint="eastAsia" w:ascii="仿宋_GB2312" w:eastAsia="仿宋_GB2312" w:cs="仿宋_GB2312"/>
          <w:b w:val="0"/>
          <w:bCs w:val="0"/>
          <w:color w:val="000000"/>
          <w:sz w:val="32"/>
          <w:szCs w:val="32"/>
        </w:rPr>
        <w:t>。</w:t>
      </w:r>
    </w:p>
    <w:p>
      <w:pPr>
        <w:keepNext w:val="0"/>
        <w:keepLines w:val="0"/>
        <w:pageBreakBefore w:val="0"/>
        <w:widowControl w:val="0"/>
        <w:kinsoku/>
        <w:wordWrap/>
        <w:overflowPunct/>
        <w:topLinePunct w:val="0"/>
        <w:bidi w:val="0"/>
        <w:snapToGrid/>
        <w:spacing w:line="590" w:lineRule="exact"/>
        <w:ind w:firstLine="640" w:firstLineChars="200"/>
        <w:textAlignment w:val="auto"/>
        <w:rPr>
          <w:rStyle w:val="17"/>
          <w:rFonts w:ascii="仿宋_GB2312" w:eastAsia="仿宋_GB2312"/>
          <w:b w:val="0"/>
          <w:bCs w:val="0"/>
          <w:sz w:val="32"/>
          <w:szCs w:val="32"/>
        </w:rPr>
      </w:pPr>
      <w:r>
        <w:rPr>
          <w:rStyle w:val="17"/>
          <w:rFonts w:ascii="仿宋_GB2312" w:eastAsia="仿宋_GB2312" w:cs="仿宋_GB2312"/>
          <w:b w:val="0"/>
          <w:bCs w:val="0"/>
          <w:sz w:val="32"/>
          <w:szCs w:val="32"/>
        </w:rPr>
        <w:t>1</w:t>
      </w:r>
      <w:r>
        <w:rPr>
          <w:rStyle w:val="17"/>
          <w:rFonts w:hint="eastAsia" w:ascii="仿宋_GB2312" w:eastAsia="仿宋_GB2312" w:cs="仿宋_GB2312"/>
          <w:b w:val="0"/>
          <w:bCs w:val="0"/>
          <w:sz w:val="32"/>
          <w:szCs w:val="32"/>
          <w:lang w:val="en-US" w:eastAsia="zh-CN"/>
        </w:rPr>
        <w:t>5</w:t>
      </w:r>
      <w:r>
        <w:rPr>
          <w:rStyle w:val="17"/>
          <w:rFonts w:ascii="仿宋_GB2312" w:eastAsia="仿宋_GB2312" w:cs="仿宋_GB2312"/>
          <w:b w:val="0"/>
          <w:bCs w:val="0"/>
          <w:sz w:val="32"/>
          <w:szCs w:val="32"/>
        </w:rPr>
        <w:t>.</w:t>
      </w:r>
      <w:r>
        <w:rPr>
          <w:rStyle w:val="17"/>
          <w:rFonts w:hint="eastAsia" w:ascii="仿宋_GB2312" w:eastAsia="仿宋_GB2312" w:cs="仿宋_GB2312"/>
          <w:b w:val="0"/>
          <w:bCs w:val="0"/>
          <w:sz w:val="32"/>
          <w:szCs w:val="32"/>
        </w:rPr>
        <w:t>城乡社区</w:t>
      </w:r>
      <w:r>
        <w:rPr>
          <w:rStyle w:val="17"/>
          <w:rFonts w:hint="eastAsia" w:ascii="仿宋_GB2312" w:eastAsia="仿宋_GB2312" w:cs="仿宋_GB2312"/>
          <w:b w:val="0"/>
          <w:bCs w:val="0"/>
          <w:color w:val="000000"/>
          <w:sz w:val="32"/>
          <w:szCs w:val="32"/>
        </w:rPr>
        <w:t>（类）城乡社区管理事务（款</w:t>
      </w:r>
      <w:r>
        <w:rPr>
          <w:rStyle w:val="17"/>
          <w:rFonts w:hint="eastAsia" w:ascii="仿宋_GB2312" w:eastAsia="仿宋_GB2312" w:cs="仿宋_GB2312"/>
          <w:b w:val="0"/>
          <w:bCs w:val="0"/>
          <w:color w:val="000000"/>
          <w:sz w:val="32"/>
          <w:szCs w:val="32"/>
          <w:lang w:eastAsia="zh-CN"/>
        </w:rPr>
        <w:t>）</w:t>
      </w:r>
      <w:r>
        <w:rPr>
          <w:rStyle w:val="17"/>
          <w:rFonts w:hint="eastAsia" w:ascii="仿宋_GB2312" w:eastAsia="仿宋_GB2312" w:cs="仿宋_GB2312"/>
          <w:b w:val="0"/>
          <w:bCs w:val="0"/>
          <w:color w:val="000000"/>
          <w:sz w:val="32"/>
          <w:szCs w:val="32"/>
        </w:rPr>
        <w:t>住宅建设与房地产市场监管（项）</w:t>
      </w:r>
      <w:r>
        <w:rPr>
          <w:rStyle w:val="17"/>
          <w:rFonts w:hint="eastAsia" w:ascii="仿宋_GB2312" w:eastAsia="仿宋_GB2312" w:cs="仿宋_GB2312"/>
          <w:b w:val="0"/>
          <w:bCs w:val="0"/>
          <w:color w:val="000000"/>
          <w:sz w:val="32"/>
          <w:szCs w:val="32"/>
          <w:lang w:eastAsia="zh-CN"/>
        </w:rPr>
        <w:t>：</w:t>
      </w:r>
      <w:r>
        <w:rPr>
          <w:rStyle w:val="17"/>
          <w:rFonts w:hint="eastAsia" w:ascii="仿宋_GB2312" w:eastAsia="仿宋_GB2312" w:cs="仿宋_GB2312"/>
          <w:b w:val="0"/>
          <w:bCs w:val="0"/>
          <w:sz w:val="32"/>
          <w:szCs w:val="32"/>
        </w:rPr>
        <w:t>指反映调控房地产市场运行、研究拟定城镇住房制度改革法规、对住房公积金和其他房改资金进行政策指导并监督使用等方面的支出。</w:t>
      </w:r>
    </w:p>
    <w:p>
      <w:pPr>
        <w:keepNext w:val="0"/>
        <w:keepLines w:val="0"/>
        <w:pageBreakBefore w:val="0"/>
        <w:widowControl w:val="0"/>
        <w:kinsoku/>
        <w:wordWrap/>
        <w:overflowPunct/>
        <w:topLinePunct w:val="0"/>
        <w:bidi w:val="0"/>
        <w:snapToGrid/>
        <w:spacing w:line="590" w:lineRule="exact"/>
        <w:ind w:firstLine="640" w:firstLineChars="200"/>
        <w:textAlignment w:val="auto"/>
        <w:rPr>
          <w:rStyle w:val="17"/>
          <w:rFonts w:ascii="仿宋_GB2312" w:eastAsia="仿宋_GB2312"/>
          <w:b w:val="0"/>
          <w:bCs w:val="0"/>
          <w:color w:val="000000"/>
          <w:sz w:val="32"/>
          <w:szCs w:val="32"/>
        </w:rPr>
      </w:pPr>
      <w:r>
        <w:rPr>
          <w:rStyle w:val="17"/>
          <w:rFonts w:hint="eastAsia" w:ascii="仿宋_GB2312" w:eastAsia="仿宋_GB2312" w:cs="仿宋_GB2312"/>
          <w:b w:val="0"/>
          <w:bCs w:val="0"/>
          <w:sz w:val="32"/>
          <w:szCs w:val="32"/>
          <w:lang w:val="en-US" w:eastAsia="zh-CN"/>
        </w:rPr>
        <w:t>16</w:t>
      </w:r>
      <w:r>
        <w:rPr>
          <w:rStyle w:val="17"/>
          <w:rFonts w:ascii="仿宋_GB2312" w:eastAsia="仿宋_GB2312" w:cs="仿宋_GB2312"/>
          <w:b w:val="0"/>
          <w:bCs w:val="0"/>
          <w:sz w:val="32"/>
          <w:szCs w:val="32"/>
        </w:rPr>
        <w:t>.</w:t>
      </w:r>
      <w:r>
        <w:rPr>
          <w:rStyle w:val="17"/>
          <w:rFonts w:hint="eastAsia" w:ascii="仿宋_GB2312" w:eastAsia="仿宋_GB2312" w:cs="仿宋_GB2312"/>
          <w:b w:val="0"/>
          <w:bCs w:val="0"/>
          <w:sz w:val="32"/>
          <w:szCs w:val="32"/>
        </w:rPr>
        <w:t>城乡社区</w:t>
      </w:r>
      <w:r>
        <w:rPr>
          <w:rStyle w:val="17"/>
          <w:rFonts w:hint="eastAsia" w:ascii="仿宋_GB2312" w:eastAsia="仿宋_GB2312" w:cs="仿宋_GB2312"/>
          <w:b w:val="0"/>
          <w:bCs w:val="0"/>
          <w:color w:val="000000"/>
          <w:sz w:val="32"/>
          <w:szCs w:val="32"/>
        </w:rPr>
        <w:t>（类）城乡社区管理事务（款</w:t>
      </w:r>
      <w:r>
        <w:rPr>
          <w:rStyle w:val="17"/>
          <w:rFonts w:hint="eastAsia" w:ascii="仿宋_GB2312" w:eastAsia="仿宋_GB2312" w:cs="仿宋_GB2312"/>
          <w:b w:val="0"/>
          <w:bCs w:val="0"/>
          <w:color w:val="000000"/>
          <w:sz w:val="32"/>
          <w:szCs w:val="32"/>
          <w:lang w:eastAsia="zh-CN"/>
        </w:rPr>
        <w:t>）</w:t>
      </w:r>
      <w:r>
        <w:rPr>
          <w:rStyle w:val="17"/>
          <w:rFonts w:hint="eastAsia" w:ascii="仿宋_GB2312" w:eastAsia="仿宋_GB2312" w:cs="仿宋_GB2312"/>
          <w:b w:val="0"/>
          <w:bCs w:val="0"/>
          <w:color w:val="000000"/>
          <w:sz w:val="32"/>
          <w:szCs w:val="32"/>
        </w:rPr>
        <w:t>其他城乡社区管理事务支出（项）：指反映除上述项目以外的其他用于城乡社区管理</w:t>
      </w:r>
      <w:r>
        <w:rPr>
          <w:rStyle w:val="17"/>
          <w:rFonts w:hint="eastAsia" w:ascii="仿宋_GB2312" w:eastAsia="仿宋_GB2312" w:cs="仿宋_GB2312"/>
          <w:b w:val="0"/>
          <w:bCs w:val="0"/>
          <w:color w:val="000000"/>
          <w:sz w:val="32"/>
          <w:szCs w:val="32"/>
          <w:lang w:eastAsia="zh-CN"/>
        </w:rPr>
        <w:t>事务</w:t>
      </w:r>
      <w:r>
        <w:rPr>
          <w:rStyle w:val="17"/>
          <w:rFonts w:hint="eastAsia" w:ascii="仿宋_GB2312" w:eastAsia="仿宋_GB2312" w:cs="仿宋_GB2312"/>
          <w:b w:val="0"/>
          <w:bCs w:val="0"/>
          <w:color w:val="000000"/>
          <w:sz w:val="32"/>
          <w:szCs w:val="32"/>
        </w:rPr>
        <w:t>方面的支出。</w:t>
      </w:r>
    </w:p>
    <w:p>
      <w:pPr>
        <w:keepNext w:val="0"/>
        <w:keepLines w:val="0"/>
        <w:pageBreakBefore w:val="0"/>
        <w:widowControl w:val="0"/>
        <w:numPr>
          <w:ilvl w:val="0"/>
          <w:numId w:val="0"/>
        </w:numPr>
        <w:shd w:val="clear"/>
        <w:kinsoku/>
        <w:wordWrap/>
        <w:overflowPunct/>
        <w:topLinePunct w:val="0"/>
        <w:bidi w:val="0"/>
        <w:snapToGrid/>
        <w:spacing w:line="590" w:lineRule="exact"/>
        <w:ind w:firstLine="640" w:firstLineChars="200"/>
        <w:textAlignment w:val="auto"/>
        <w:rPr>
          <w:rFonts w:hint="eastAsia" w:ascii="仿宋_GB2312" w:eastAsia="仿宋_GB2312" w:cs="仿宋_GB2312"/>
          <w:color w:val="000000"/>
          <w:sz w:val="32"/>
          <w:szCs w:val="32"/>
          <w:lang w:val="en-US" w:eastAsia="zh-CN"/>
        </w:rPr>
      </w:pPr>
      <w:r>
        <w:rPr>
          <w:rStyle w:val="17"/>
          <w:rFonts w:hint="eastAsia" w:ascii="仿宋_GB2312" w:eastAsia="仿宋_GB2312" w:cs="仿宋_GB2312"/>
          <w:b w:val="0"/>
          <w:bCs w:val="0"/>
          <w:color w:val="auto"/>
          <w:sz w:val="32"/>
          <w:szCs w:val="32"/>
          <w:highlight w:val="none"/>
          <w:lang w:val="en-US" w:eastAsia="zh-CN"/>
        </w:rPr>
        <w:t>17.</w:t>
      </w:r>
      <w:r>
        <w:rPr>
          <w:rStyle w:val="17"/>
          <w:rFonts w:hint="eastAsia" w:ascii="仿宋_GB2312" w:eastAsia="仿宋_GB2312" w:cs="仿宋_GB2312"/>
          <w:b w:val="0"/>
          <w:bCs w:val="0"/>
          <w:color w:val="auto"/>
          <w:sz w:val="32"/>
          <w:szCs w:val="32"/>
          <w:highlight w:val="none"/>
        </w:rPr>
        <w:t>城乡社区（类）城乡社区公共设施（款</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其他城乡社区公共设施支出（项）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指反映除一般城乡社区公共设施支出以外的其他方面的支出。</w:t>
      </w:r>
    </w:p>
    <w:p>
      <w:pPr>
        <w:keepNext w:val="0"/>
        <w:keepLines w:val="0"/>
        <w:pageBreakBefore w:val="0"/>
        <w:widowControl w:val="0"/>
        <w:kinsoku/>
        <w:wordWrap/>
        <w:overflowPunct/>
        <w:topLinePunct w:val="0"/>
        <w:bidi w:val="0"/>
        <w:snapToGrid/>
        <w:spacing w:line="590" w:lineRule="exact"/>
        <w:ind w:firstLine="640" w:firstLineChars="200"/>
        <w:textAlignment w:val="auto"/>
        <w:rPr>
          <w:rStyle w:val="17"/>
          <w:rFonts w:hint="eastAsia" w:ascii="仿宋_GB2312" w:eastAsia="仿宋_GB2312" w:cs="仿宋_GB2312"/>
          <w:b w:val="0"/>
          <w:bCs w:val="0"/>
          <w:sz w:val="32"/>
          <w:szCs w:val="32"/>
          <w:lang w:eastAsia="zh-CN"/>
        </w:rPr>
      </w:pPr>
      <w:r>
        <w:rPr>
          <w:rFonts w:hint="eastAsia" w:ascii="仿宋_GB2312" w:eastAsia="仿宋_GB2312" w:cs="仿宋_GB2312"/>
          <w:color w:val="000000"/>
          <w:sz w:val="32"/>
          <w:szCs w:val="32"/>
          <w:lang w:val="en-US" w:eastAsia="zh-CN"/>
        </w:rPr>
        <w:t>18</w:t>
      </w:r>
      <w:r>
        <w:rPr>
          <w:rFonts w:ascii="仿宋_GB2312" w:eastAsia="仿宋_GB2312" w:cs="仿宋_GB2312"/>
          <w:color w:val="000000"/>
          <w:sz w:val="32"/>
          <w:szCs w:val="32"/>
        </w:rPr>
        <w:t>.</w:t>
      </w:r>
      <w:r>
        <w:rPr>
          <w:rStyle w:val="17"/>
          <w:rFonts w:hint="eastAsia" w:ascii="仿宋_GB2312" w:eastAsia="仿宋_GB2312" w:cs="仿宋_GB2312"/>
          <w:b w:val="0"/>
          <w:bCs w:val="0"/>
          <w:sz w:val="32"/>
          <w:szCs w:val="32"/>
        </w:rPr>
        <w:t>城乡社区</w:t>
      </w:r>
      <w:r>
        <w:rPr>
          <w:rStyle w:val="17"/>
          <w:rFonts w:hint="eastAsia" w:ascii="仿宋_GB2312" w:eastAsia="仿宋_GB2312" w:cs="仿宋_GB2312"/>
          <w:b w:val="0"/>
          <w:bCs w:val="0"/>
          <w:color w:val="000000"/>
          <w:sz w:val="32"/>
          <w:szCs w:val="32"/>
        </w:rPr>
        <w:t>（类）</w:t>
      </w:r>
      <w:r>
        <w:rPr>
          <w:rStyle w:val="17"/>
          <w:rFonts w:hint="eastAsia" w:ascii="仿宋_GB2312" w:eastAsia="仿宋_GB2312" w:cs="仿宋_GB2312"/>
          <w:b w:val="0"/>
          <w:bCs w:val="0"/>
          <w:color w:val="000000"/>
          <w:sz w:val="32"/>
          <w:szCs w:val="32"/>
          <w:lang w:eastAsia="zh-CN"/>
        </w:rPr>
        <w:t>国有土地使用权出让收入安排的支出</w:t>
      </w:r>
      <w:r>
        <w:rPr>
          <w:rStyle w:val="17"/>
          <w:rFonts w:hint="eastAsia" w:ascii="仿宋_GB2312" w:eastAsia="仿宋_GB2312" w:cs="仿宋_GB2312"/>
          <w:b w:val="0"/>
          <w:bCs w:val="0"/>
          <w:color w:val="000000"/>
          <w:sz w:val="32"/>
          <w:szCs w:val="32"/>
        </w:rPr>
        <w:t>（款</w:t>
      </w:r>
      <w:r>
        <w:rPr>
          <w:rStyle w:val="17"/>
          <w:rFonts w:hint="eastAsia" w:ascii="仿宋_GB2312" w:eastAsia="仿宋_GB2312" w:cs="仿宋_GB2312"/>
          <w:b w:val="0"/>
          <w:bCs w:val="0"/>
          <w:color w:val="000000"/>
          <w:sz w:val="32"/>
          <w:szCs w:val="32"/>
          <w:lang w:eastAsia="zh-CN"/>
        </w:rPr>
        <w:t>）城市建设支出</w:t>
      </w:r>
      <w:r>
        <w:rPr>
          <w:rStyle w:val="17"/>
          <w:rFonts w:hint="eastAsia" w:ascii="仿宋_GB2312" w:eastAsia="仿宋_GB2312" w:cs="仿宋_GB2312"/>
          <w:b w:val="0"/>
          <w:bCs w:val="0"/>
          <w:color w:val="000000"/>
          <w:sz w:val="32"/>
          <w:szCs w:val="32"/>
        </w:rPr>
        <w:t>（项）</w:t>
      </w:r>
      <w:r>
        <w:rPr>
          <w:rStyle w:val="17"/>
          <w:rFonts w:hint="eastAsia" w:ascii="仿宋_GB2312" w:eastAsia="仿宋_GB2312" w:cs="仿宋_GB2312"/>
          <w:b w:val="0"/>
          <w:bCs w:val="0"/>
          <w:color w:val="000000"/>
          <w:sz w:val="32"/>
          <w:szCs w:val="32"/>
          <w:lang w:eastAsia="zh-CN"/>
        </w:rPr>
        <w:t>：</w:t>
      </w:r>
      <w:r>
        <w:rPr>
          <w:rStyle w:val="17"/>
          <w:rFonts w:hint="eastAsia" w:ascii="仿宋_GB2312" w:eastAsia="仿宋_GB2312" w:cs="仿宋_GB2312"/>
          <w:b w:val="0"/>
          <w:bCs w:val="0"/>
          <w:sz w:val="32"/>
          <w:szCs w:val="32"/>
          <w:lang w:eastAsia="zh-CN"/>
        </w:rPr>
        <w:t>反映土地出让收入用于完善国有土地使用功能的配套设施建设和城市基础设施建设支出。</w:t>
      </w:r>
    </w:p>
    <w:p>
      <w:pPr>
        <w:keepNext w:val="0"/>
        <w:keepLines w:val="0"/>
        <w:pageBreakBefore w:val="0"/>
        <w:widowControl w:val="0"/>
        <w:kinsoku/>
        <w:wordWrap/>
        <w:overflowPunct/>
        <w:topLinePunct w:val="0"/>
        <w:bidi w:val="0"/>
        <w:snapToGrid/>
        <w:spacing w:line="590" w:lineRule="exact"/>
        <w:ind w:firstLine="640" w:firstLineChars="200"/>
        <w:textAlignment w:val="auto"/>
        <w:rPr>
          <w:rStyle w:val="17"/>
          <w:rFonts w:hint="default" w:ascii="仿宋_GB2312" w:eastAsia="仿宋_GB2312" w:cs="仿宋_GB2312"/>
          <w:b w:val="0"/>
          <w:bCs w:val="0"/>
          <w:sz w:val="32"/>
          <w:szCs w:val="32"/>
          <w:lang w:val="en-US" w:eastAsia="zh-CN"/>
        </w:rPr>
      </w:pPr>
      <w:r>
        <w:rPr>
          <w:rFonts w:hint="eastAsia" w:ascii="仿宋_GB2312" w:eastAsia="仿宋_GB2312" w:cs="仿宋_GB2312"/>
          <w:color w:val="000000"/>
          <w:sz w:val="32"/>
          <w:szCs w:val="32"/>
          <w:lang w:val="en-US" w:eastAsia="zh-CN"/>
        </w:rPr>
        <w:t>19</w:t>
      </w:r>
      <w:r>
        <w:rPr>
          <w:rFonts w:ascii="仿宋_GB2312" w:eastAsia="仿宋_GB2312" w:cs="仿宋_GB2312"/>
          <w:color w:val="000000"/>
          <w:sz w:val="32"/>
          <w:szCs w:val="32"/>
        </w:rPr>
        <w:t>.</w:t>
      </w:r>
      <w:r>
        <w:rPr>
          <w:rStyle w:val="17"/>
          <w:rFonts w:hint="eastAsia" w:ascii="仿宋_GB2312" w:eastAsia="仿宋_GB2312" w:cs="仿宋_GB2312"/>
          <w:b w:val="0"/>
          <w:bCs w:val="0"/>
          <w:sz w:val="32"/>
          <w:szCs w:val="32"/>
        </w:rPr>
        <w:t>城乡社区</w:t>
      </w:r>
      <w:r>
        <w:rPr>
          <w:rStyle w:val="17"/>
          <w:rFonts w:hint="eastAsia" w:ascii="仿宋_GB2312" w:eastAsia="仿宋_GB2312" w:cs="仿宋_GB2312"/>
          <w:b w:val="0"/>
          <w:bCs w:val="0"/>
          <w:color w:val="000000"/>
          <w:sz w:val="32"/>
          <w:szCs w:val="32"/>
        </w:rPr>
        <w:t>（类）</w:t>
      </w:r>
      <w:r>
        <w:rPr>
          <w:rStyle w:val="17"/>
          <w:rFonts w:hint="eastAsia" w:ascii="仿宋_GB2312" w:eastAsia="仿宋_GB2312" w:cs="仿宋_GB2312"/>
          <w:b w:val="0"/>
          <w:bCs w:val="0"/>
          <w:color w:val="000000"/>
          <w:sz w:val="32"/>
          <w:szCs w:val="32"/>
          <w:lang w:eastAsia="zh-CN"/>
        </w:rPr>
        <w:t>国有土地使用权出让收入安排的支出</w:t>
      </w:r>
      <w:r>
        <w:rPr>
          <w:rStyle w:val="17"/>
          <w:rFonts w:hint="eastAsia" w:ascii="仿宋_GB2312" w:eastAsia="仿宋_GB2312" w:cs="仿宋_GB2312"/>
          <w:b w:val="0"/>
          <w:bCs w:val="0"/>
          <w:color w:val="000000"/>
          <w:sz w:val="32"/>
          <w:szCs w:val="32"/>
        </w:rPr>
        <w:t>（款</w:t>
      </w:r>
      <w:r>
        <w:rPr>
          <w:rStyle w:val="17"/>
          <w:rFonts w:hint="eastAsia" w:ascii="仿宋_GB2312" w:eastAsia="仿宋_GB2312" w:cs="仿宋_GB2312"/>
          <w:b w:val="0"/>
          <w:bCs w:val="0"/>
          <w:color w:val="000000"/>
          <w:sz w:val="32"/>
          <w:szCs w:val="32"/>
          <w:lang w:eastAsia="zh-CN"/>
        </w:rPr>
        <w:t>）农村基础设施建设支出</w:t>
      </w:r>
      <w:r>
        <w:rPr>
          <w:rStyle w:val="17"/>
          <w:rFonts w:hint="eastAsia" w:ascii="仿宋_GB2312" w:eastAsia="仿宋_GB2312" w:cs="仿宋_GB2312"/>
          <w:b w:val="0"/>
          <w:bCs w:val="0"/>
          <w:color w:val="000000"/>
          <w:sz w:val="32"/>
          <w:szCs w:val="32"/>
        </w:rPr>
        <w:t>（项）</w:t>
      </w:r>
      <w:r>
        <w:rPr>
          <w:rStyle w:val="17"/>
          <w:rFonts w:hint="eastAsia" w:ascii="仿宋_GB2312" w:eastAsia="仿宋_GB2312" w:cs="仿宋_GB2312"/>
          <w:b w:val="0"/>
          <w:bCs w:val="0"/>
          <w:color w:val="000000"/>
          <w:sz w:val="32"/>
          <w:szCs w:val="32"/>
          <w:lang w:eastAsia="zh-CN"/>
        </w:rPr>
        <w:t>：</w:t>
      </w:r>
      <w:r>
        <w:rPr>
          <w:rStyle w:val="17"/>
          <w:rFonts w:hint="eastAsia" w:ascii="仿宋_GB2312" w:eastAsia="仿宋_GB2312" w:cs="仿宋_GB2312"/>
          <w:b w:val="0"/>
          <w:bCs w:val="0"/>
          <w:sz w:val="32"/>
          <w:szCs w:val="32"/>
          <w:lang w:eastAsia="zh-CN"/>
        </w:rPr>
        <w:t>反映土地出让收入用于农村供水保障、村庄公共设施建设和管护以及农业农村直接相关的以工代赈等方面的支出。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20.</w:t>
      </w:r>
      <w:r>
        <w:rPr>
          <w:rStyle w:val="17"/>
          <w:rFonts w:hint="eastAsia" w:ascii="仿宋_GB2312" w:eastAsia="仿宋_GB2312" w:cs="仿宋_GB2312"/>
          <w:b w:val="0"/>
          <w:bCs w:val="0"/>
          <w:sz w:val="32"/>
          <w:szCs w:val="32"/>
        </w:rPr>
        <w:t>城乡社区</w:t>
      </w:r>
      <w:r>
        <w:rPr>
          <w:rStyle w:val="17"/>
          <w:rFonts w:hint="eastAsia" w:ascii="仿宋_GB2312" w:eastAsia="仿宋_GB2312" w:cs="仿宋_GB2312"/>
          <w:b w:val="0"/>
          <w:bCs w:val="0"/>
          <w:color w:val="000000"/>
          <w:sz w:val="32"/>
          <w:szCs w:val="32"/>
        </w:rPr>
        <w:t>（类）</w:t>
      </w:r>
      <w:r>
        <w:rPr>
          <w:rStyle w:val="17"/>
          <w:rFonts w:hint="eastAsia" w:ascii="仿宋_GB2312" w:eastAsia="仿宋_GB2312" w:cs="仿宋_GB2312"/>
          <w:b w:val="0"/>
          <w:bCs w:val="0"/>
          <w:color w:val="000000"/>
          <w:sz w:val="32"/>
          <w:szCs w:val="32"/>
          <w:lang w:eastAsia="zh-CN"/>
        </w:rPr>
        <w:t>城市基础设施配套费安排的支出</w:t>
      </w:r>
      <w:r>
        <w:rPr>
          <w:rStyle w:val="17"/>
          <w:rFonts w:hint="eastAsia" w:ascii="仿宋_GB2312" w:eastAsia="仿宋_GB2312" w:cs="仿宋_GB2312"/>
          <w:b w:val="0"/>
          <w:bCs w:val="0"/>
          <w:color w:val="000000"/>
          <w:sz w:val="32"/>
          <w:szCs w:val="32"/>
        </w:rPr>
        <w:t>（款</w:t>
      </w:r>
      <w:r>
        <w:rPr>
          <w:rStyle w:val="17"/>
          <w:rFonts w:hint="eastAsia" w:ascii="仿宋_GB2312" w:eastAsia="仿宋_GB2312" w:cs="仿宋_GB2312"/>
          <w:b w:val="0"/>
          <w:bCs w:val="0"/>
          <w:color w:val="000000"/>
          <w:sz w:val="32"/>
          <w:szCs w:val="32"/>
          <w:lang w:eastAsia="zh-CN"/>
        </w:rPr>
        <w:t>）城市公共设施</w:t>
      </w:r>
      <w:r>
        <w:rPr>
          <w:rStyle w:val="17"/>
          <w:rFonts w:hint="eastAsia" w:ascii="仿宋_GB2312" w:eastAsia="仿宋_GB2312" w:cs="仿宋_GB2312"/>
          <w:b w:val="0"/>
          <w:bCs w:val="0"/>
          <w:color w:val="000000"/>
          <w:sz w:val="32"/>
          <w:szCs w:val="32"/>
        </w:rPr>
        <w:t>（项）</w:t>
      </w:r>
      <w:r>
        <w:rPr>
          <w:rStyle w:val="17"/>
          <w:rFonts w:hint="eastAsia" w:ascii="仿宋_GB2312" w:eastAsia="仿宋_GB2312" w:cs="仿宋_GB2312"/>
          <w:b w:val="0"/>
          <w:bCs w:val="0"/>
          <w:color w:val="000000"/>
          <w:sz w:val="32"/>
          <w:szCs w:val="32"/>
          <w:lang w:eastAsia="zh-CN"/>
        </w:rPr>
        <w:t>：</w:t>
      </w:r>
      <w:r>
        <w:rPr>
          <w:rStyle w:val="17"/>
          <w:rFonts w:hint="eastAsia" w:ascii="仿宋_GB2312" w:eastAsia="仿宋_GB2312" w:cs="仿宋_GB2312"/>
          <w:b w:val="0"/>
          <w:bCs w:val="0"/>
          <w:sz w:val="32"/>
          <w:szCs w:val="32"/>
          <w:lang w:eastAsia="zh-CN"/>
        </w:rPr>
        <w:t>反映城市基础设施配套费安排用于城市道路、桥涵、公共交通、道路照明、供排水、燃气、供热等公共设施维护、建设和管理方面的支出。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21.</w:t>
      </w:r>
      <w:r>
        <w:rPr>
          <w:rStyle w:val="17"/>
          <w:rFonts w:hint="eastAsia" w:ascii="仿宋_GB2312" w:eastAsia="仿宋_GB2312" w:cs="仿宋_GB2312"/>
          <w:b w:val="0"/>
          <w:bCs w:val="0"/>
          <w:sz w:val="32"/>
          <w:szCs w:val="32"/>
        </w:rPr>
        <w:t>城乡社区</w:t>
      </w:r>
      <w:r>
        <w:rPr>
          <w:rStyle w:val="17"/>
          <w:rFonts w:hint="eastAsia" w:ascii="仿宋_GB2312" w:eastAsia="仿宋_GB2312" w:cs="仿宋_GB2312"/>
          <w:b w:val="0"/>
          <w:bCs w:val="0"/>
          <w:color w:val="000000"/>
          <w:sz w:val="32"/>
          <w:szCs w:val="32"/>
        </w:rPr>
        <w:t>（类）</w:t>
      </w:r>
      <w:r>
        <w:rPr>
          <w:rStyle w:val="17"/>
          <w:rFonts w:hint="eastAsia" w:ascii="仿宋_GB2312" w:eastAsia="仿宋_GB2312" w:cs="仿宋_GB2312"/>
          <w:b w:val="0"/>
          <w:bCs w:val="0"/>
          <w:color w:val="000000"/>
          <w:sz w:val="32"/>
          <w:szCs w:val="32"/>
          <w:lang w:eastAsia="zh-CN"/>
        </w:rPr>
        <w:t>城市基础设施配套费安排的支出</w:t>
      </w:r>
      <w:r>
        <w:rPr>
          <w:rStyle w:val="17"/>
          <w:rFonts w:hint="eastAsia" w:ascii="仿宋_GB2312" w:eastAsia="仿宋_GB2312" w:cs="仿宋_GB2312"/>
          <w:b w:val="0"/>
          <w:bCs w:val="0"/>
          <w:color w:val="000000"/>
          <w:sz w:val="32"/>
          <w:szCs w:val="32"/>
        </w:rPr>
        <w:t>（款</w:t>
      </w:r>
      <w:r>
        <w:rPr>
          <w:rStyle w:val="17"/>
          <w:rFonts w:hint="eastAsia" w:ascii="仿宋_GB2312" w:eastAsia="仿宋_GB2312" w:cs="仿宋_GB2312"/>
          <w:b w:val="0"/>
          <w:bCs w:val="0"/>
          <w:color w:val="000000"/>
          <w:sz w:val="32"/>
          <w:szCs w:val="32"/>
          <w:lang w:eastAsia="zh-CN"/>
        </w:rPr>
        <w:t>）城市环境卫生</w:t>
      </w:r>
      <w:r>
        <w:rPr>
          <w:rStyle w:val="17"/>
          <w:rFonts w:hint="eastAsia" w:ascii="仿宋_GB2312" w:eastAsia="仿宋_GB2312" w:cs="仿宋_GB2312"/>
          <w:b w:val="0"/>
          <w:bCs w:val="0"/>
          <w:color w:val="000000"/>
          <w:sz w:val="32"/>
          <w:szCs w:val="32"/>
        </w:rPr>
        <w:t>（项）</w:t>
      </w:r>
      <w:r>
        <w:rPr>
          <w:rStyle w:val="17"/>
          <w:rFonts w:hint="eastAsia" w:ascii="仿宋_GB2312" w:eastAsia="仿宋_GB2312" w:cs="仿宋_GB2312"/>
          <w:b w:val="0"/>
          <w:bCs w:val="0"/>
          <w:color w:val="000000"/>
          <w:sz w:val="32"/>
          <w:szCs w:val="32"/>
          <w:lang w:eastAsia="zh-CN"/>
        </w:rPr>
        <w:t>：</w:t>
      </w:r>
      <w:r>
        <w:rPr>
          <w:rStyle w:val="17"/>
          <w:rFonts w:hint="eastAsia" w:ascii="仿宋_GB2312" w:eastAsia="仿宋_GB2312" w:cs="仿宋_GB2312"/>
          <w:b w:val="0"/>
          <w:bCs w:val="0"/>
          <w:sz w:val="32"/>
          <w:szCs w:val="32"/>
          <w:lang w:eastAsia="zh-CN"/>
        </w:rPr>
        <w:t>反映城市基础设施配套费安排用于道路清扫、垃圾清运与处理、污水处理、园林绿化等方面的支出。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22</w:t>
      </w:r>
      <w:r>
        <w:rPr>
          <w:rFonts w:ascii="仿宋_GB2312" w:eastAsia="仿宋_GB2312" w:cs="仿宋_GB2312"/>
          <w:color w:val="000000"/>
          <w:sz w:val="32"/>
          <w:szCs w:val="32"/>
        </w:rPr>
        <w:t>.</w:t>
      </w:r>
      <w:r>
        <w:rPr>
          <w:rStyle w:val="17"/>
          <w:rFonts w:hint="eastAsia" w:ascii="仿宋_GB2312" w:eastAsia="仿宋_GB2312" w:cs="仿宋_GB2312"/>
          <w:b w:val="0"/>
          <w:bCs w:val="0"/>
          <w:sz w:val="32"/>
          <w:szCs w:val="32"/>
        </w:rPr>
        <w:t>城乡社区</w:t>
      </w:r>
      <w:r>
        <w:rPr>
          <w:rStyle w:val="17"/>
          <w:rFonts w:hint="eastAsia" w:ascii="仿宋_GB2312" w:eastAsia="仿宋_GB2312" w:cs="仿宋_GB2312"/>
          <w:b w:val="0"/>
          <w:bCs w:val="0"/>
          <w:color w:val="000000"/>
          <w:sz w:val="32"/>
          <w:szCs w:val="32"/>
        </w:rPr>
        <w:t>（类）</w:t>
      </w:r>
      <w:r>
        <w:rPr>
          <w:rStyle w:val="17"/>
          <w:rFonts w:hint="eastAsia" w:ascii="仿宋_GB2312" w:eastAsia="仿宋_GB2312" w:cs="仿宋_GB2312"/>
          <w:b w:val="0"/>
          <w:bCs w:val="0"/>
          <w:color w:val="000000"/>
          <w:sz w:val="32"/>
          <w:szCs w:val="32"/>
          <w:lang w:eastAsia="zh-CN"/>
        </w:rPr>
        <w:t>其他城乡社区支出</w:t>
      </w:r>
      <w:r>
        <w:rPr>
          <w:rStyle w:val="17"/>
          <w:rFonts w:hint="eastAsia" w:ascii="仿宋_GB2312" w:eastAsia="仿宋_GB2312" w:cs="仿宋_GB2312"/>
          <w:b w:val="0"/>
          <w:bCs w:val="0"/>
          <w:color w:val="000000"/>
          <w:sz w:val="32"/>
          <w:szCs w:val="32"/>
        </w:rPr>
        <w:t>（款</w:t>
      </w:r>
      <w:r>
        <w:rPr>
          <w:rStyle w:val="17"/>
          <w:rFonts w:hint="eastAsia" w:ascii="仿宋_GB2312" w:eastAsia="仿宋_GB2312" w:cs="仿宋_GB2312"/>
          <w:b w:val="0"/>
          <w:bCs w:val="0"/>
          <w:color w:val="000000"/>
          <w:sz w:val="32"/>
          <w:szCs w:val="32"/>
          <w:lang w:eastAsia="zh-CN"/>
        </w:rPr>
        <w:t>）其他城乡社区支出</w:t>
      </w:r>
      <w:r>
        <w:rPr>
          <w:rStyle w:val="17"/>
          <w:rFonts w:hint="eastAsia" w:ascii="仿宋_GB2312" w:eastAsia="仿宋_GB2312" w:cs="仿宋_GB2312"/>
          <w:b w:val="0"/>
          <w:bCs w:val="0"/>
          <w:color w:val="000000"/>
          <w:sz w:val="32"/>
          <w:szCs w:val="32"/>
        </w:rPr>
        <w:t>（项）</w:t>
      </w:r>
      <w:r>
        <w:rPr>
          <w:rStyle w:val="17"/>
          <w:rFonts w:hint="eastAsia" w:ascii="仿宋_GB2312" w:eastAsia="仿宋_GB2312" w:cs="仿宋_GB2312"/>
          <w:b w:val="0"/>
          <w:bCs w:val="0"/>
          <w:color w:val="000000"/>
          <w:sz w:val="32"/>
          <w:szCs w:val="32"/>
          <w:lang w:eastAsia="zh-CN"/>
        </w:rPr>
        <w:t>：</w:t>
      </w:r>
      <w:r>
        <w:rPr>
          <w:rStyle w:val="17"/>
          <w:rFonts w:hint="eastAsia" w:ascii="仿宋_GB2312" w:eastAsia="仿宋_GB2312" w:cs="仿宋_GB2312"/>
          <w:b w:val="0"/>
          <w:bCs w:val="0"/>
          <w:sz w:val="32"/>
          <w:szCs w:val="32"/>
          <w:lang w:eastAsia="zh-CN"/>
        </w:rPr>
        <w:t>反映除上述项目以外的其他用于城乡社区方面的支出。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lang w:val="en-US" w:eastAsia="zh-CN"/>
        </w:rPr>
        <w:t>23</w:t>
      </w:r>
      <w:r>
        <w:rPr>
          <w:rFonts w:ascii="仿宋_GB2312" w:eastAsia="仿宋_GB2312" w:cs="仿宋_GB2312"/>
          <w:color w:val="000000"/>
          <w:sz w:val="32"/>
          <w:szCs w:val="32"/>
        </w:rPr>
        <w:t>.</w:t>
      </w:r>
      <w:r>
        <w:rPr>
          <w:rStyle w:val="17"/>
          <w:rFonts w:hint="eastAsia" w:ascii="仿宋_GB2312" w:eastAsia="仿宋_GB2312" w:cs="仿宋_GB2312"/>
          <w:b w:val="0"/>
          <w:bCs w:val="0"/>
          <w:sz w:val="32"/>
          <w:szCs w:val="32"/>
        </w:rPr>
        <w:t>住房保障</w:t>
      </w:r>
      <w:r>
        <w:rPr>
          <w:rStyle w:val="17"/>
          <w:rFonts w:hint="eastAsia" w:ascii="仿宋_GB2312" w:eastAsia="仿宋_GB2312" w:cs="仿宋_GB2312"/>
          <w:b w:val="0"/>
          <w:bCs w:val="0"/>
          <w:color w:val="000000"/>
          <w:sz w:val="32"/>
          <w:szCs w:val="32"/>
        </w:rPr>
        <w:t>（类）保障性安居工程支出（款）棚户区改造（项）</w:t>
      </w:r>
      <w:r>
        <w:rPr>
          <w:rStyle w:val="17"/>
          <w:rFonts w:hint="eastAsia" w:ascii="仿宋_GB2312" w:eastAsia="仿宋_GB2312" w:cs="仿宋_GB2312"/>
          <w:b w:val="0"/>
          <w:bCs w:val="0"/>
          <w:color w:val="000000"/>
          <w:sz w:val="32"/>
          <w:szCs w:val="32"/>
          <w:lang w:eastAsia="zh-CN"/>
        </w:rPr>
        <w:t>：</w:t>
      </w:r>
      <w:r>
        <w:rPr>
          <w:rStyle w:val="17"/>
          <w:rFonts w:hint="eastAsia" w:ascii="仿宋_GB2312" w:eastAsia="仿宋_GB2312" w:cs="仿宋_GB2312"/>
          <w:b w:val="0"/>
          <w:bCs w:val="0"/>
          <w:sz w:val="32"/>
          <w:szCs w:val="32"/>
        </w:rPr>
        <w:t>指反映用于棚户区改造方面的支出。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24</w:t>
      </w:r>
      <w:r>
        <w:rPr>
          <w:rFonts w:ascii="仿宋_GB2312" w:eastAsia="仿宋_GB2312" w:cs="仿宋_GB2312"/>
          <w:color w:val="000000"/>
          <w:sz w:val="32"/>
          <w:szCs w:val="32"/>
        </w:rPr>
        <w:t>.</w:t>
      </w:r>
      <w:r>
        <w:rPr>
          <w:rStyle w:val="17"/>
          <w:rFonts w:hint="eastAsia" w:ascii="仿宋_GB2312" w:eastAsia="仿宋_GB2312" w:cs="仿宋_GB2312"/>
          <w:b w:val="0"/>
          <w:bCs w:val="0"/>
          <w:sz w:val="32"/>
          <w:szCs w:val="32"/>
        </w:rPr>
        <w:t>住房保障</w:t>
      </w:r>
      <w:r>
        <w:rPr>
          <w:rStyle w:val="17"/>
          <w:rFonts w:hint="eastAsia" w:ascii="仿宋_GB2312" w:eastAsia="仿宋_GB2312" w:cs="仿宋_GB2312"/>
          <w:b w:val="0"/>
          <w:bCs w:val="0"/>
          <w:color w:val="000000"/>
          <w:sz w:val="32"/>
          <w:szCs w:val="32"/>
        </w:rPr>
        <w:t>（类）</w:t>
      </w:r>
      <w:r>
        <w:rPr>
          <w:rStyle w:val="17"/>
          <w:rFonts w:hint="eastAsia" w:ascii="仿宋_GB2312" w:eastAsia="仿宋_GB2312" w:cs="仿宋_GB2312"/>
          <w:b w:val="0"/>
          <w:bCs w:val="0"/>
          <w:color w:val="000000"/>
          <w:sz w:val="32"/>
          <w:szCs w:val="32"/>
          <w:lang w:eastAsia="zh-CN"/>
        </w:rPr>
        <w:t>保障性安居工程支出</w:t>
      </w:r>
      <w:r>
        <w:rPr>
          <w:rStyle w:val="17"/>
          <w:rFonts w:hint="eastAsia" w:ascii="仿宋_GB2312" w:eastAsia="仿宋_GB2312" w:cs="仿宋_GB2312"/>
          <w:b w:val="0"/>
          <w:bCs w:val="0"/>
          <w:color w:val="000000"/>
          <w:sz w:val="32"/>
          <w:szCs w:val="32"/>
        </w:rPr>
        <w:t>（款）</w:t>
      </w:r>
      <w:r>
        <w:rPr>
          <w:rStyle w:val="17"/>
          <w:rFonts w:hint="eastAsia" w:ascii="仿宋_GB2312" w:eastAsia="仿宋_GB2312" w:cs="仿宋_GB2312"/>
          <w:b w:val="0"/>
          <w:bCs w:val="0"/>
          <w:color w:val="000000"/>
          <w:sz w:val="32"/>
          <w:szCs w:val="32"/>
          <w:lang w:eastAsia="zh-CN"/>
        </w:rPr>
        <w:t>公共租赁住房</w:t>
      </w:r>
      <w:r>
        <w:rPr>
          <w:rStyle w:val="17"/>
          <w:rFonts w:hint="eastAsia" w:ascii="仿宋_GB2312" w:eastAsia="仿宋_GB2312" w:cs="仿宋_GB2312"/>
          <w:b w:val="0"/>
          <w:bCs w:val="0"/>
          <w:color w:val="000000"/>
          <w:sz w:val="32"/>
          <w:szCs w:val="32"/>
        </w:rPr>
        <w:t>（项）</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反映用于新建、改建、购买、租赁、维护和管理公共租赁住房支出。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 w:hAnsi="仿宋" w:eastAsia="仿宋_GB2312" w:cs="仿宋"/>
          <w:color w:val="000000"/>
          <w:sz w:val="32"/>
          <w:szCs w:val="32"/>
          <w:lang w:eastAsia="zh-CN"/>
        </w:rPr>
      </w:pPr>
      <w:r>
        <w:rPr>
          <w:rFonts w:hint="eastAsia" w:ascii="仿宋_GB2312" w:eastAsia="仿宋_GB2312" w:cs="仿宋_GB2312"/>
          <w:color w:val="000000"/>
          <w:sz w:val="32"/>
          <w:szCs w:val="32"/>
          <w:lang w:val="en-US" w:eastAsia="zh-CN"/>
        </w:rPr>
        <w:t>25</w:t>
      </w:r>
      <w:r>
        <w:rPr>
          <w:rFonts w:ascii="仿宋_GB2312" w:eastAsia="仿宋_GB2312" w:cs="仿宋_GB2312"/>
          <w:color w:val="000000"/>
          <w:sz w:val="32"/>
          <w:szCs w:val="32"/>
        </w:rPr>
        <w:t>.</w:t>
      </w:r>
      <w:r>
        <w:rPr>
          <w:rStyle w:val="17"/>
          <w:rFonts w:hint="eastAsia" w:ascii="仿宋_GB2312" w:eastAsia="仿宋_GB2312" w:cs="仿宋_GB2312"/>
          <w:b w:val="0"/>
          <w:bCs w:val="0"/>
          <w:sz w:val="32"/>
          <w:szCs w:val="32"/>
        </w:rPr>
        <w:t>住房保障</w:t>
      </w:r>
      <w:r>
        <w:rPr>
          <w:rStyle w:val="17"/>
          <w:rFonts w:hint="eastAsia" w:ascii="仿宋_GB2312" w:eastAsia="仿宋_GB2312" w:cs="仿宋_GB2312"/>
          <w:b w:val="0"/>
          <w:bCs w:val="0"/>
          <w:color w:val="000000"/>
          <w:sz w:val="32"/>
          <w:szCs w:val="32"/>
        </w:rPr>
        <w:t>（类）住房改革支出（款）住房公积金（项）</w:t>
      </w:r>
      <w:r>
        <w:rPr>
          <w:rFonts w:hint="eastAsia" w:ascii="仿宋_GB2312" w:eastAsia="仿宋_GB2312" w:cs="仿宋_GB2312"/>
          <w:color w:val="000000"/>
          <w:sz w:val="32"/>
          <w:szCs w:val="32"/>
        </w:rPr>
        <w:t>：反映行政事业单位按人力资源和社会保障部、财政部规定的基本工资和津贴补贴以及规定比例为职工缴纳住房公积金。</w:t>
      </w:r>
    </w:p>
    <w:p>
      <w:pPr>
        <w:keepNext w:val="0"/>
        <w:keepLines w:val="0"/>
        <w:pageBreakBefore w:val="0"/>
        <w:widowControl w:val="0"/>
        <w:kinsoku/>
        <w:wordWrap/>
        <w:overflowPunct/>
        <w:topLinePunct w:val="0"/>
        <w:bidi w:val="0"/>
        <w:snapToGrid/>
        <w:spacing w:line="590" w:lineRule="exact"/>
        <w:ind w:firstLine="640"/>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26.灾害防治及应急管理（类）自然灾害防治（款）其他自然灾害防治支出（项）：反映其他用于自然灾害防治的支出。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仿宋_GB2312" w:eastAsia="仿宋_GB2312"/>
          <w:b w:val="0"/>
          <w:bCs w:val="0"/>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lang w:val="en-US" w:eastAsia="zh-CN"/>
        </w:rPr>
        <w:t>27.</w:t>
      </w:r>
      <w:r>
        <w:rPr>
          <w:rFonts w:hint="eastAsia" w:ascii="仿宋_GB2312" w:hAnsi="仿宋_GB2312" w:eastAsia="仿宋_GB2312" w:cs="仿宋_GB2312"/>
          <w:b w:val="0"/>
          <w:bCs w:val="0"/>
          <w:color w:val="auto"/>
          <w:sz w:val="32"/>
          <w:szCs w:val="32"/>
          <w:highlight w:val="none"/>
          <w:lang w:eastAsia="zh-CN"/>
        </w:rPr>
        <w:t>其他支出</w:t>
      </w:r>
      <w:r>
        <w:rPr>
          <w:rStyle w:val="17"/>
          <w:rFonts w:hint="eastAsia" w:ascii="仿宋_GB2312" w:hAnsi="仿宋_GB2312" w:eastAsia="仿宋_GB2312" w:cs="仿宋_GB2312"/>
          <w:b w:val="0"/>
          <w:bCs w:val="0"/>
          <w:color w:val="auto"/>
          <w:sz w:val="32"/>
          <w:szCs w:val="32"/>
          <w:highlight w:val="none"/>
        </w:rPr>
        <w:t>（类）</w:t>
      </w:r>
      <w:r>
        <w:rPr>
          <w:rFonts w:hint="eastAsia" w:ascii="仿宋_GB2312" w:hAnsi="仿宋_GB2312" w:eastAsia="仿宋_GB2312" w:cs="仿宋_GB2312"/>
          <w:b w:val="0"/>
          <w:bCs w:val="0"/>
          <w:color w:val="auto"/>
          <w:sz w:val="32"/>
          <w:szCs w:val="32"/>
          <w:highlight w:val="none"/>
          <w:lang w:eastAsia="zh-CN"/>
        </w:rPr>
        <w:t>其他支出</w:t>
      </w:r>
      <w:r>
        <w:rPr>
          <w:rStyle w:val="17"/>
          <w:rFonts w:hint="eastAsia" w:ascii="仿宋_GB2312" w:hAnsi="仿宋_GB2312" w:eastAsia="仿宋_GB2312" w:cs="仿宋_GB2312"/>
          <w:b w:val="0"/>
          <w:bCs w:val="0"/>
          <w:color w:val="auto"/>
          <w:sz w:val="32"/>
          <w:szCs w:val="32"/>
          <w:highlight w:val="none"/>
        </w:rPr>
        <w:t>（款）</w:t>
      </w:r>
      <w:r>
        <w:rPr>
          <w:rFonts w:hint="eastAsia" w:ascii="仿宋_GB2312" w:hAnsi="仿宋_GB2312" w:eastAsia="仿宋_GB2312" w:cs="仿宋_GB2312"/>
          <w:b w:val="0"/>
          <w:bCs w:val="0"/>
          <w:color w:val="auto"/>
          <w:sz w:val="32"/>
          <w:szCs w:val="32"/>
          <w:highlight w:val="none"/>
          <w:lang w:eastAsia="zh-CN"/>
        </w:rPr>
        <w:t>其他支出</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：反映除上述项目以外其他不能划分到具体功能科目中的支出项目。</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9"/>
        <w:rPr>
          <w:rFonts w:hint="eastAsia" w:ascii="黑体" w:hAnsi="黑体" w:eastAsia="黑体"/>
          <w:color w:val="auto"/>
          <w:sz w:val="44"/>
          <w:szCs w:val="44"/>
          <w:highlight w:val="none"/>
        </w:rPr>
      </w:pPr>
      <w:bookmarkStart w:id="105" w:name="_Toc15396614"/>
      <w:bookmarkStart w:id="106" w:name="_Toc15377226"/>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pPr>
    </w:p>
    <w:p>
      <w:pPr>
        <w:spacing w:line="600" w:lineRule="exact"/>
        <w:jc w:val="center"/>
        <w:outlineLvl w:val="0"/>
        <w:rPr>
          <w:rStyle w:val="19"/>
          <w:rFonts w:ascii="黑体" w:hAnsi="黑体" w:eastAsia="黑体"/>
          <w:b w:val="0"/>
          <w:color w:val="auto"/>
          <w:highlight w:val="none"/>
        </w:rPr>
      </w:pPr>
      <w:bookmarkStart w:id="107" w:name="_Toc28504"/>
      <w:bookmarkStart w:id="108" w:name="_Toc18814"/>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 附件</w:t>
      </w:r>
      <w:bookmarkEnd w:id="105"/>
      <w:bookmarkEnd w:id="107"/>
      <w:bookmarkEnd w:id="108"/>
    </w:p>
    <w:p>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p>
      <w:pPr>
        <w:widowControl/>
        <w:numPr>
          <w:ilvl w:val="0"/>
          <w:numId w:val="0"/>
        </w:numPr>
        <w:ind w:firstLine="640" w:firstLineChars="200"/>
        <w:jc w:val="center"/>
        <w:rPr>
          <w:rFonts w:hint="eastAsia" w:ascii="黑体" w:hAnsi="黑体" w:eastAsia="黑体" w:cs="黑体"/>
          <w:color w:val="auto"/>
          <w:sz w:val="32"/>
          <w:szCs w:val="32"/>
          <w:highlight w:val="none"/>
          <w:lang w:val="en-US" w:eastAsia="zh-CN"/>
        </w:rPr>
      </w:pPr>
      <w:bookmarkStart w:id="109" w:name="_Toc1982825403_WPSOffice_Level2"/>
      <w:bookmarkStart w:id="110" w:name="_Toc795815795_WPSOffice_Level2"/>
      <w:bookmarkStart w:id="111" w:name="_Toc15396618"/>
      <w:r>
        <w:rPr>
          <w:rFonts w:hint="eastAsia" w:ascii="黑体" w:hAnsi="黑体" w:eastAsia="黑体" w:cs="黑体"/>
          <w:color w:val="auto"/>
          <w:sz w:val="32"/>
          <w:szCs w:val="32"/>
          <w:highlight w:val="none"/>
          <w:lang w:val="en-US" w:eastAsia="zh-CN"/>
        </w:rPr>
        <w:t>部门预算项目支出绩效自评表（2022年度）</w:t>
      </w:r>
      <w:bookmarkEnd w:id="109"/>
      <w:bookmarkEnd w:id="110"/>
    </w:p>
    <w:tbl>
      <w:tblPr>
        <w:tblStyle w:val="15"/>
        <w:tblW w:w="139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116"/>
        <w:gridCol w:w="1385"/>
        <w:gridCol w:w="2412"/>
        <w:gridCol w:w="680"/>
        <w:gridCol w:w="831"/>
        <w:gridCol w:w="992"/>
        <w:gridCol w:w="1512"/>
        <w:gridCol w:w="1327"/>
        <w:gridCol w:w="958"/>
        <w:gridCol w:w="2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51000021R000000019951-工资性支出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严格执行相关政策，保障工资及时发放、足额发放，预算编制科学合理，减少结余资金。</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按月发放职工工资性支出。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751.99</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1,080.84</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1,029.97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95.29%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9.53</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10月份根据当年人员变动情况，追加人员经费。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751.99</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1,080.84</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1,029.97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95.29%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结余率（计算方法为：结余数/预算数）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4.71%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99.53</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该项目自评得分99.53分，通过该项目的实施，保障工资及时发放、足额发放。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51000021R000000019952-其他人员支出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严格执行相关政策，保障抚恤金、奖励金及时发放、足额发放，预算编制科学合理，减少结余资金。</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严格执行相关政策，保障抚恤金、奖励金及时发放、足额发放，预算编制科学合理，减少结余资金。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按照相关文件及时发放抚恤金等支出。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54.59</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21.46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39.31%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3.93</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抚恤金25.43万元指标下达时间为2022年12月30日，指标结转到下年使用。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54.59</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21.46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39.31%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结余率（计算方法为：结余数/预算数）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93.93</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该项目自评得分93.93分，通过该项目的实施，保障抚恤金及时发放、足额发放。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51000021R000000019956-离退休费支出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严格执行相关政策，保障工资及时发放、足额发放，预算编制科学合理，减少结余资金</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按月发放职工离退休费支出。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88.20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93.26</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93.26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年中追加退休人员职业年金记实资金。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88.20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93.26</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93.26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结余率（计算方法为：结余数/预算数）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该项目自评得分100分，通过该项目的实施，保障抚恤金及时发放、足额发放。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51000021R000000019957-其他补助支出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严格执行相关政策，保障一次性退休补贴及时发放、足额发放，预算编制科学合理，减少结余资金。</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严格执行相关政策，保障一次性退休补贴及时发放、足额发放，预算编制科学合理，减少结余资金。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严格执行相关政策，保障一次性退休补贴及时发放、足额发放。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年中追加一次性退休补贴。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结余率（计算方法为：结余数/预算数）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该项目自评得分100分，通过该项目的实施，保障一次性退休补贴及时发放、足额发放。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51000021R000000019958-其他支出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严格执行相关政策，保障遗属补助等及时发放、足额发放，预算编制科学合理，减少结余资金</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严格执行相关政策，保障遗属补助等及时发放、足额发放，预算编制科学合理，减少结余资金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严格执行相关政策，保障遗属补助等及时发放、足额发放。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12.21</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年中追加遗属补助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12.21</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结余率（计算方法为：结余数/预算数）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该项目自评得分100分，通过该项目的实施，保障遗属补助等及时发放、足额发放。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51000021Y000000011490-定额公用经费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保障单位日常运转，提高预算编制质量，严格执行预算</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根据“过紧日子”要求，合理保障单位日常运转。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68.40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68.05</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68.05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为进一步落实过紧日子要求，压减三公经费，我局追减了三公经费等经费。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68.40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68.05</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68.05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该项目自评得分100分，通过该项目的实施，合理保障单位日常运转。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51080021Y000000176770-其他公用经费（福利、工会、公车补贴、党建、退休活动）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保障单位日常运转，提高预算编制质量，严格执行预算</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根据“过紧日子”要求，合理保障单位日常运转。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77.63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77.63</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77.63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77.63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77.63</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77.63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该项目自评得分100分，通过该项目的实施，合理保障单位日常运转。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51080022R000000267546-工资性支出（事业）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严格执行相关政策，保障工资及时发放、足额发放，预算编制科学合理，减少结余资金。</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严格执行相关政策，保障工资及时发放、足额发放，预算编制科学合理，无结余资金。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按月发放职工工资性支出。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273.39</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273.39</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273.39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273.39</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273.39</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273.39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结余率（计算方法为：结余数/预算数）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该项目自评得分100分，通过该项目的实施，保障了职工工资及时、足额发放。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51080022T000004927957-图审中心购买社会服务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通过购买社会服务，聘请2人对2022年建设工程勘察文件及施工图设计文件审查备案、特殊建设工程消防设计审查。</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已完成2022年建设工程勘察文件及施工图设计文件审查备案、特殊建设工程消防设计审查。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通过购买社会服务，聘请2人对2022年建设工程勘察文件及施工图设计文件审查备案、特殊建设工程消防设计审查。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11.40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11.40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聘请人数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合格率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114000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建设单位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年绩效目标设置明确、预算编制较准确、项目预算执行较好，基本按照计划完成年度工作任务，实现了年度绩效目标。自评得分99.5分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51080022T000004935179-乡村振兴工作经费（局机关）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根据市委、市政府要求，结合乡村振兴责任清单，住建局派出5名驻村第一书记及队员到苍溪县漓江镇从事乡村振兴帮扶工作。</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按照市委、市政府要求及年初目标，已全面完成任务。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派出5名驻村第一书记及队员到苍溪县漓江镇从事乡村振兴帮扶工作。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好坏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好</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影响力</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好坏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好</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经费补助金额</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驻村人数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年绩效目标设置明确、预算编制较准确、项目预算执行较好，基本按照计划完成年度工作任务，实现了年度绩效目标。自评得分100分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51080022T000004935235-项目工作推进经费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通过努力向上争取更多资金4.05亿元、招商引资6亿元，各项目的推进，保障全市经济社会发展。</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全系统争取到位资金13.4亿元，促进广元经济发展，已超额完成任务。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通过努力向上争取更多资金4.05亿元、招商引资6亿元，各项目的推进，保障全市经济社会发展。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招商引资工作经费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向上争取资金任务数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亿元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社会公众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项目推进工作经费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促进社会经济发展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好坏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向上争取资金工作经费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招商引资任务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亿元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年绩效目标设置明确、预算编制较准确、项目预算执行较好，基本按照计划完成年度工作任务，实现了年度绩效目标。自评得分100分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51080022T000004935334-办公设备购置（局机关）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通过购置办公设备，满足办公相应条件，提高办公效率。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采购空调2台、办公桌椅4套、扫描仪1台，打印机2台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按照年初计划及相关规定采购办公设备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根据工作实际需要，不再采购传真机、会议功放设备等。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传真机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未采购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扫描仪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全体干部职工</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发挥作用期限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打印机成本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办公家具数量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23920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扫描仪数量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打印机数量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会议功放成本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空调数量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会议功放数量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未采购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复印纸数量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传真机成本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未采购</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93.24</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年绩效目标设置明确、预算编制较准确、项目预算执行较好，基本按照计划完成年度工作任务，实现了年度绩效目标。自评得分93.24分。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预算编制准确性需进一步提高，项目实施需强化管理。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加强学习，提高预算管理水平。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51080022T000004935376-法律顾问费（局机关）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通过聘请3名法律顾问，依法依规处理涉诉事务来化解涉诉纠纷，需顾问及诉讼代理费7万元。</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已完成全年目标任务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通过聘请3名法律顾问，依法依规处理涉诉事务来化解涉诉纠纷，需顾问及诉讼代理费7万元。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99.04%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99.04%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代理案件数量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聘请法律顾问人数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案件代理费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9300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顾问费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60000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发挥作用期限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社会公众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年绩效目标设置明确、预算编制较准确、项目预算执行较好，基本按照计划完成年度工作任务，实现了年度绩效目标。自评得分99.9分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51080022T000004935382-网络及信息维护费（局机关）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通过与电信公司合作，对单位办公区域的安防系统及网络进行维护，确保网络安全。</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已完成全年目标任务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通过与电信公司合作，对单位办公区域的安防系统及网络进行维护，确保网络安全。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8"/>
                <w:lang w:val="en-US" w:eastAsia="zh-CN" w:bidi="ar"/>
              </w:rPr>
              <w:t>维护费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8"/>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FF0000"/>
                <w:kern w:val="0"/>
                <w:sz w:val="18"/>
                <w:szCs w:val="18"/>
                <w:u w:val="none"/>
                <w:lang w:val="en-US" w:eastAsia="zh-CN" w:bidi="ar"/>
              </w:rPr>
              <w:t>60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8"/>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8"/>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8"/>
                <w:lang w:val="en-US" w:eastAsia="zh-CN" w:bidi="ar"/>
              </w:rPr>
              <w:t>网络安全率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8"/>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FF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网络维护数量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网络使用者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安全事故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年绩效目标设置明确、预算编制较准确、项目预算执行较好，基本按照计划完成年度工作任务，实现了年度绩效目标。自评得分100分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51080022T000004935390-人才引进、招录经费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通过招录、引进人才12名，为住建系统增加新鲜血液，确保各项工作顺利开展。</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通过招录、引进人才12名，为住建系统增加新鲜血液，确保各项工作顺利开展。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通过招录、引进人才12名，为住建系统增加新鲜血液，确保各项工作顺利开展。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招录、引进人才人数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12人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考察费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5000元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考务费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25000元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发挥作用期限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长期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用人部门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该项目自评得分100分，通过该项目的实施，为我局注入了新鲜血液，保障我局工作正常运转。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51080022T000004935503-内控制度建设咨询费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通过建设全面、系统的内部控制制度，合理保证单位经济活动合法合规、资产安全和使用，有效防范舞弊，提高公共服务的效率和效果。</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通过建设全面、系统的内部控制制度，合理保证单位经济活动合法合规、资产安全和使用，有效防范舞弊，提高公共服务的效率和效果。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通过建设全面、系统的内部控制制度，合理保证单位经济活动合法合规、资产安全和使用，有效防范舞弊，提高公共服务的效率和效果。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制度数量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套</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咨询费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影响期限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单位各部门、全体职工</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年绩效目标设置明确、预算编制较准确、项目预算执行较好，基本按照计划完成年度工作任务，实现了年度绩效目标。自评得分100分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51080022T000004935873-信息宣传、信访维稳经费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通过与省、市相关媒体合作等，加强住房城乡建设重点、热点、亮点和相关政策宣传、维护系统系统稳定，所需经费7万元。</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通过与省、市相关媒体合作等，加强住房城乡建设重点、热点、亮点和相关政策宣传、维护系统系统稳定，所需经费7万元。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通过与省、市相关媒体合作等，加强住房城乡建设重点、热点、亮点和相关政策宣传、维护系统系统稳定，所需经费7万元。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99.60%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9.96</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99.60%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与省市媒体合作次数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8次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宣传费用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65000元/年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维稳费用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5000元/年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群众支出住建工作率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85%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社会公众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99.96</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通过与省、市相关媒体合作等，加强住房城乡建设重点、热点、亮点和相关政策宣传、维护系统系统稳定</w:t>
            </w:r>
            <w:r>
              <w:rPr>
                <w:rFonts w:hint="eastAsia" w:ascii="微软雅黑" w:hAnsi="微软雅黑" w:eastAsia="微软雅黑" w:cs="微软雅黑"/>
                <w:i/>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51080022T000004937552-消防设计审查咨询费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通过聘请专家对2022年的消防设计进行审查，保证建设工程的消防设计质量及人民生命财产安全。</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通过聘请专家对2022年的消防设计进行审查，保证建设工程的消防设计质量及人民生命财产安全。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聘请专家对2022年的消防设计进行审查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消防设计数量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合格率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专家咨询费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安全事故发生率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消防设施使用者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该项目自评得分100分，通过该项目的实施，保证建设工程的消防设计质量及人民生命财产安全。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51080022T000004937586-棚改等项目推进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推动棚户区改造等项目工作</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推动棚户区改造等项目工作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有效推动棚户区改造等项目工作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67.74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96.77%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9.68</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67.74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96.77%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食堂材料等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棚改工作经费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发挥作用期限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棚户区收益对象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99.68</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通过项目实施，有效推动棚改工作。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51080022T000004951747-党风廉政建设及内审咨询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八届市委第一轮常规巡察反馈问题，对局系统内部经济业务真实性、合法性进行监督检查，聘请中介机构对内部进行专项审计；加强党风廉政建设宣传，促进单位的党风廉政建设持续向好发展。需审计及宣传费2万元。</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根据八届市委第一轮常规巡察反馈问题，对局系统内部经济业务真实性、合法性进行监督检查，聘请中介机构对内部进行专项审计；加强党风廉政建设宣传，促进单位的党风廉政建设持续向好发展。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通过聘请中介机构对单位内部经济业务性、合法性进行专项审计，促进单位的党风廉政建设持续向好发展。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审计次数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3000元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审计费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17000元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发挥作用期限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5年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该项目自评得分100分，通过该项目的实施，促进单位的党风廉政建设持续向好发展。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51080022T000004951822-村镇建设项目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开展农村危房改造巡查、做好现有96个传统村落保护，申报省级传统村落5个、争创5个左右省级百强中心镇，以进一步做好农村住房安全保障、促进小城镇建设。</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开展农村危房改造巡查、做好现有96个传统村落保护，申报省级传统村落5个、争取了2个省级百强中心镇。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开展农村危房、传统村落督查，申报百强中心镇等，保障农村住房安全保障、促进小城镇建设。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创建申报中心镇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5个</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农村危房、传统村落督查频率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传统村落申报数量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5个</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召开县区专题会议次数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印刷费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15000元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会议费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3000元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差旅费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2000元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促进小城镇建设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好</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老百姓满意度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该项目自评得分100分，通过该项目的实施，保障了农村住房安全保障、促进小城镇建设。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51080022T000005090734-西二环一期建设项目（ppp)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西二环一期建设项目包括西二环二段、三段、陵江枢纽工程3个子项目，道路全长11883米，宽7-38米，总投资142064万元，本项目采用PPP模式运作，采取BOT模式建设（建设期3年，运营期7年，合作期共10年）。回报机制为“政府付费”（可用性服务费+运营维护费）。</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西二环一期建设项目包括西二环二段、三段、陵江枢纽工程3个子项目，道路全长11883米，宽7-38米，总投资142064万元，本项目采用PPP模式运作，采取BOT模式建设（建设期3年，运营期7年，合作期共10年）。回报机制为“政府付费”（可用性服务费+运营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西二环一期建设项目包括西二环二段、三段、陵江枢纽工程3个子项目，道路全长11883米，宽7-38米，总投资142064万元，本项目采用PPP模式运作，采取BOT模式建设（建设期3年，运营期7年，合作期共10年）。回报机制为“政府付费”（可用性服务费+运营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7,610.14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19,729.76</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7,610.14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38.57%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3.86</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12月30日财政追加指标1.21亿元，结转下年使用。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7,610.14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19,729.76</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7,610.14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38.57%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服务期限</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8个月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达到《运维协议》约定</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道路长度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11883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米</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11883米</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对社会影响</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社会公众</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584656900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495019100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93.86</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该项目自评得分93.86分，通过该项目的实施，建设了西二环二段、三段、陵江枢纽工程3个项目，方便了道路同行。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该项目年末追加指标1.21亿元，结转到下年使用，导致预算执行率偏低。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建议财政局及时下达项目资金，确保当年资金执行率100%。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51080022T000005620230-广元市装配式建筑产业园区项目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通过建设装配式部品部件生产基地，完成PC构建试生产，实现部品部件产销2000平米，有利于提升建筑业科技水平和管理水平等</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通过建设装配式部品部件生产基地，完成PC构建试生产，实现部品部件产销2000平米，有利于提升建筑业科技水平和管理水平等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装配式部品部件生产基地。装配式混凝土、钢结构工艺构件，以及综合管廊、轻质隔墙、新型门窗、整体装配式装修部件等生产与销售。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PC构件合格率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投资成本</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503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526万元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产销量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平方米</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2116平方米</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劳动生产总值</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1371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1418万元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推动建筑业高质量发展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优良中低差</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建筑企业</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通过建设装配式部品部件生产基地，完成PC构建试生产，实现部品部件产销2000平米，提升建筑业科技水平和管理水平等。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51080022T000005621059-市本级自然灾害综合风险普查工作经费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针对市县两级农房、城房、市政道路桥梁进行抽查，编制综合风险普查成果报告。</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针对市县两级农房、城房、市政道路桥梁进行抽查，编制综合风险普查成果报告。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针对市县两级农房、城房、市政道路桥梁进行抽查，编制综合风险普查成果报告。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抽查农房、市政道路等数量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0.4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0.40%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达到上级验收要求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差旅费等</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250000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提高人居环境安全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优良中低差</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提高人居环境安全</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房屋、道路、桥梁使用者</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针对市县两级农房、城房、市政道路桥梁进行抽查，编制综合风险普查成果报告。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51080022T000005640094-广元市中心城区市政道路恢复重建项目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洪灾后恢复道路路面、水毁人行道</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洪灾后恢复道路路面、水毁人行道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洪灾后恢复道路路面、水毁人行道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37.69</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37.69</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项目正在审计中。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37.69</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37.69</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恢复道路路面</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平方米</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30350平方米</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5.06</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水毁人行道</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平方米</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5906平方米</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4.54</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验收合格率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恢复费用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376882.53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376882.53元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改善人居环境</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优良中低差</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市民</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79.6</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该项目自评得分79.6分，通过该项目的实施，修复道路路面、水毁人行道。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51080022T000005641077-广元大一污水处理厂、第二城市生活污水处理厂服务片区管网排查项目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对广元市中心城区约700公里雨污水管网排查，完成地理信息系统建设</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对广元市中心城区约700公里雨污水管网排查，完成地理信息系统建设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对广元市中心城区约700公里雨污水管网排查 ，完成地理信息系统建设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中心城区管网排查数量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700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公里</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700公里</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验收合格率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设计咨询费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80000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80000元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可影响期限</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3年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信息使用者</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对广元市中心城区约700公里雨污水管网排查，完成地理信息系统建设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51080022T000005762220-北二环三、四段道路工程项目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完成项目建设，提升城市形象，改善人居环境。</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2015年12月完成建设，达到提升城市形象、改善人居环境的目标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新建道路长3240米，标准断面宽30米，建设内容包括人行道、路基、路面、边坡防护与支挡、立交桥梁、出入口及配套雨污水管道、综合管道、交通安全与管理设施监控、照明及供配电、景观及绿化等附属工程。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4,122.48</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4,122.48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年中追加项目资金，用于北二环三、四段道路工程项目。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4,122.48</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4,122.48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改造面积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3240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达到国家现行验收标准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完成投资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4122.48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提升城市形象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提升城市品位，树立良好的城市形象，促进广元市的社会和谐发展。</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拉动城市经济发展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间接促进广元市经济发展与社会进步，为广元市招商引资创造极好条件。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改善周边人居环境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提升广元市城乡环境和城市品质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改善环境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提升城市交通的出行的便利性。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居民满意度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居民满意度100%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项目建成后，提高项目周边区域居民的生活环境，提升城市品位，树立良好的城市形象，促进广元市的社会和谐发展。使项目区及周边成为环境的理想场所，提高了广元市城市形象，产生了良好的环境效益。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项目单位预算绩效意识不强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加强项目单位预算绩效管理，提高绩效管理水平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51080022T000005820386-2021年市城区排水排污日常维护及应急抢险工程进度款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完成市城区管网清淤，破损井盖更换，破损管网修复，新建排水排污管网，泵站维护管理值守等确保市城区排水排污设施正常运行。</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完成市城区管网清淤，破损井盖更换，破损管网修复，新建排水排污管网，泵站维护管理值守等确保市城区排水排污设施正常运行。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破损井盖、雨篦约1680套，管网修复更换约4.2公里，泵站维护值守14座，对市城区约900公里排水设施运行汛前清淤。管道、检查井完好率达100%。按照轻重缓急的原则依次时行整治，快修快补，确保管网设施完好，保障市城区排水排污畅通，群众出行无安全隐患，无内涝灾害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682.16</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682.16</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682.16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682.16</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682.16</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682.16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完成市城区管网清淤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公里</w:t>
            </w: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更换井盖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套</w:t>
            </w: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守护泵站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座</w:t>
            </w: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管网修复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公里</w:t>
            </w: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2021年12月31日前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前期费用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工程费用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对工作的促进作用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保障市城区排水排污畅通，群众安全出行，无内涝灾害发生。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对环境的促进作用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确保无污水溢流入河，保障南河及嘉陵江水质，提高市城区人居生活环境。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可持续影响时间</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4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9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绩效目标设置合理、预算执行较好，较好完成目标任务，自评得分100分，自评良好。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项目后期工作进度较缓慢、绩效管理意识不强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今后进一步加强项目管理，提高财政投资效益。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51080022T000005820477-2021年市政基础设施维修维护资金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对市城区125条主次道路（道路总长度189km、总面积约479万㎡，其中车行道面积约303万㎡、人行道面积约176万㎡）、62座各类桥梁、14万㎡广场、60km绿道进行维护维修，确保道路完好率95%以上。</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2022年，完成道路维修2.8万平方米、人行道维修5万平方米及防汛应急抢险工作，道路完好率达96%。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工作安排，对上西火车站接送旅客通道、石器路等进行了提升改造，改造面积约2.8万平方米；对嘉陵路、人民南路、东苑路、成都路等破损严重的人行道进行了提升改造，改造人行道面积约5万平方米；出动应急抢险人员2000余人次、机械200余台班，顺利完成应急抢险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城区主次道路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符合国家验收标准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各项检测值符合国家相关验收标准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维修费用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满足群众出行需求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道路通畅，能够满足群众出行需求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海绵化城市建设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海绵化面积增加5000㎡以上</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工作安排，针对市城区市政设施破损现状，积极采取维修或提升改造方式解决问题，尤其是对市长信箱、12345热线等反映的问题，做到了有问必答、有破损必整治，确保问题整治及时、质量合格、群众满意，结合文明城市创建工作，市政设施完好率达96%。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2021年以前背街小巷长期由利州区各街道办管辖，由于缺失专项资金及专业力量，存在基础设施不完善的情况。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下一步将加强背街小巷的维修整治工作，进一步提高城市形象和群众幸福感。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51080022T000006113722-职业年金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严格执行相关政策，保障工资及时发放、足额发放，预算编制科学合理，减少结余资金。</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按照人社局相关要求，做好退休职工职业年金记实工作。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9.34</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9.34</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结余率（计算方法为：结余数/预算数）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按照人社局相关要求，做好退休职工职业年金记实工作，项目自评得分100分。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51080022T000006530354-凤凰山城市棚户区配套基础设施建设二期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完成项目建设，改善人居环境，完善交通网络。</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2022年1月完成建设并投入使用。已达到改善人居环境，完善交通网络目标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完成550米道路建设（其中隧道工程全长345米）宽12米。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隧道长</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m</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345m</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隧道宽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m</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12m</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总投资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6590万元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改善城市交通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居民满意度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居民满意度95%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项目建成后，满足了周边居民的交通出行需求，改善该片区内路网结构，增强嘉陵、东坝片区东西两侧用地的紧密联系，进一步带动该片区的经济高速发展，综合评价为100分。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51080022T000006741555-西湾水厂取水工程迁建项目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完成项目取水泵站、设施设备、输水管道及供电线路建设和联调联试，并实现项目投产运行，计划完成项目投资2.31亿元。</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2022年3月建成并顺利移交至后期运营单位，完成目标任务。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湾水厂取水工程迁建项目位于利州区、朝天区，主要建设内容为：新增固定式取水泵站1座，规模为10万m3/d；新建DN1200输水管线12.3km，管线起于朝天区沙河镇飞仙关，途经G108国道、千佛崖输水隧洞，止于西湾水厂现状取水泵房；新建10KV双回路供电线路18km，估算总投资2.31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71.43%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7.14</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项目资金2000万元指标发文时间为2022年12月30日，下达时间为2023年1月13日指标结转到下年使用。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71.43%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输水管道建设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12.30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供电线路建设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项目竣工验收合格率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投资额</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城区供水环境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提高了供水水质，保障了供水安全，促进了社会稳定</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环境影响环节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工程建设须严格落实环境影响保护措施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97.14</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项目建成后有效可提高供水水质，改善生态环境，相应的提高人民健康水平。同时也将改善投资环境，吸引外资，带动其它产业的发展。综合评价为97.14分。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51080022T000006742574-房产交易服务平台链路租赁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租赁市住房城乡建设局机房到四县三区、市不动产登记中心及万缘政务中心共计9条专用电路网络（线路类型MSTP、网络带宽为100M/条），保障广元市房产交易服务平台稳定运行，提升管理效率和水平。</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通过租赁9条专用电路网络（线路类型MSTP、网络带宽为100M/条），已保障广元市房产交易服务平台稳定运行，提升了管理效率和水平。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租赁市住房城乡建设局机房到四县三区、市不动产登记中心及万缘政务中心共计9条专用电路网络（线路类型MSTP、网络带宽为100M/条），保障广元市房产交易服务平台稳定运行，提升管理效率和水平。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49.58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99.17%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年中追加项目资金50万元，用于房产交易服务平台链路租赁费用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49.58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99.17%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专网链路租赁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4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连通率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3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租赁费用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促进房地产发展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房地产开发企业、群众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目标设置合理、预算执行较好，全面完成目标任务，自评得分100分。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51080022T000006776203-利州区大稻坝片区棚户区改造项目（一期）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完成需拆迁安置人员 622 户 1894 人，共拆除建筑64066㎡，其中住宅 57659㎡，非住宅 6407㎡；新建总建筑面积199641㎡，其中包括住宅 107958㎡、配套商业37880㎡、配套用房5398㎡；地下建筑面积48405，并配套建设健身场地及广场、道路、步游道、绿化、室外综合管网等基础设施。总投资75000万元。</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完成需拆迁安置人员 622 户 1894 人，共拆除建筑64066㎡，其中住宅 57659㎡，非住宅 6407㎡；新建总建筑面积199641㎡，其中包括住宅 107958㎡、配套商业37880㎡、配套用房5398㎡；地下建筑面积48405，并配套建设健身场地及广场、道路、步游道、绿化、室外综合管网等基础设施。总投资75000万元。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完成需拆迁安置人员 622 户 1894 人，共拆除建筑64066㎡，其中住宅 57659㎡，非住宅 6407㎡；新建总建筑面积199641㎡，其中包括住宅 107958㎡、配套商业37880㎡、配套用房5398㎡；地下建筑面积48405，并配套建设健身场地及广场、道路、步游道、绿化、室外综合管网等基础设施。总投资75000万元。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年中追加项目资金，用于利州区大稻坝片区棚户区改造项目（一期）。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安置户数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622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357户</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2.87</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项目期限3年。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拆除建筑面积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64066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平方米</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35165平方米</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2.74</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项目期限3年。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新建面积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199641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平方米</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93730.88平方米</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项目期限3年。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总投资</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75000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26000万元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项目期限</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2年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改善居民居住条件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高中低</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高</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安置户满意度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92.96</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完成需拆迁安置人员 622 户 1894 人，共拆除建筑64066㎡，其中住宅 57659㎡，非住宅 6407㎡；新建总建筑面积199641㎡，其中包括住宅 107958㎡、配套商业37880㎡、配套用房5398㎡；地下建筑面积48405，并配套建设健身场地及广场、道路、步游道、绿化、室外综合管网等基础设施。总投资75000万元。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51080022T000006776229-利州西路棚户区改造项目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完成四宗地块的征拆补偿安置，启动二号安置点项目建设、东风路建设、完成利州大道可研编制等。完善城市功能，改善片区居民生活环境、提高群众生活质量</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完成四宗地块的征拆补偿安置，启动二号安置点项目建设、东风路建设、完成利州大道可研编制等。完善城市功能，改善片区居民生活环境、提高群众生活质量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完成四宗地块的征拆补偿安置，启动二号安置点项目建设、东风路建设、完成利州大道可研编制等。完善城市功能，改善片区居民生活环境、提高群众生活质量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2,507.62</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2,507.62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年中追加项目资金，用于利州西路棚户区改造项目。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2,507.62</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2,507.62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征拆地块数量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宗</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4宗</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工程合格率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完成任务期限</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2022年投资</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17450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17450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有效提高群众幸福感</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高中低</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有效提高</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棚户区居民满意度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该项目自评得分100分，通过该项目的实施，完善城市功能，改善片区居民生活环境、提高群众生活质量。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51080022T000006813694-海绵城市建设示范城市申报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开展系统化全域推进海绵城市建设示范城市申报工作，完善海绵城市建设相关技术标准，做好海绵城市建设领导小组办公室日常工作。</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功申报为系统化全域推进海绵城市建设国家级示范城市，并编制完成《广元市海绵城市规划设计建设技术导则（试行）》《广元市海绵城市专项设计编制规定及审查要点试行》等规范性文件，圆满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学编制海绵城市申报方案，先后成功申报省级和国家级系统化全域推进海绵城市建设示范城市；编制完成《广元市海绵城市规划设计建设技术导则》《广元市海绵城市专项设计编制规定及审查要点》等规范性文件，完成市领导交办的相关工作，做好海绵城市建设领导小组办公室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年中追加项目资金，用于海绵城市建设示范城市申报。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编制实施方案</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编制规范性文件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技术咨询服务费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规范性文件编制费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资料印制、宣传等费用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内涝防治标准、内涝积水区段消除比例、天然水域面积比例、可透水地面面积比例、城市生活污水集中收集率等指标达到2022年度海绵城市建设要求。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市民</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申报费用使用合理合规，效益突出，编制海绵城市申报方案，成功申报为系统化全域推进海绵城市建设国家级示范城市；编制完成《广元市海绵城市规划设计建设技术导则（试行）》《广元市海绵城市专项设计编制规定及审查要点试行》等规范性文件，为我市海绵城市建设提供技术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51080022T000006916378-市建筑产业招商推进工作经费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市建筑产业招商推进组洽谈招商项目不低于10个，赴外地考察及企业来广考察接待频次不低于20次，签约招商项目不少于4个</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为广元提供增加就业岗位、增加地方税收。</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市建筑产业招商推进组洽谈招商项目不低于10个，赴外地考察及企业来广考察接待频次不低于20次，签约招商项目不少于4个</w:t>
            </w:r>
            <w:r>
              <w:rPr>
                <w:rFonts w:hint="eastAsia" w:ascii="黑体" w:hAnsi="黑体" w:eastAsia="黑体" w:cs="黑体"/>
                <w:i w:val="0"/>
                <w:color w:val="000000"/>
                <w:kern w:val="0"/>
                <w:sz w:val="18"/>
                <w:szCs w:val="18"/>
                <w:u w:val="none"/>
                <w:lang w:val="en-US" w:eastAsia="zh-CN" w:bidi="ar"/>
              </w:rPr>
              <w:t>，</w:t>
            </w:r>
            <w:r>
              <w:rPr>
                <w:rFonts w:hint="default" w:ascii="黑体" w:hAnsi="黑体" w:eastAsia="黑体" w:cs="黑体"/>
                <w:i w:val="0"/>
                <w:color w:val="000000"/>
                <w:kern w:val="0"/>
                <w:sz w:val="18"/>
                <w:szCs w:val="18"/>
                <w:u w:val="none"/>
                <w:lang w:val="en-US" w:eastAsia="zh-CN" w:bidi="ar"/>
              </w:rPr>
              <w:t>为广元提供增加就业岗位、增加地方税收。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通过实施该项目增加就业岗位、增加地方税收。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10.69</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92.38%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9.24</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年中追加项目资金10.69万元，用于推进市建筑产业招商工作。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10.69</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92.38%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洽谈招商项目</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个</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签约项目</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个</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6个</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招商工作经费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9.88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增加税收收入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优良中低差</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增加就业岗位、缓解就业压力</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优良中低差</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广大市民</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99.24</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通过实施该项目增加就业岗位、增加地方税收。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51080022T000006934868-棚户区改造（滨江一号）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完成4695.8平方米的道路及地面铺装，6263平方米的地下车库及配套用房。</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完成4695.8平方米的道路及地面铺装，6263平方米的地下车库及配套用房。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完成4695.8平方米的道路及地面铺装，6263平方米的地下车库及配套用房。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685.00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685.00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年中追加项目资金，用于棚户区改造（滨江一号）项目。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685.00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685.00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道路及地面铺装</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4695.8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平方米</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3956</w:t>
            </w:r>
            <w:r>
              <w:rPr>
                <w:rFonts w:hint="default" w:ascii="等线" w:hAnsi="等线" w:eastAsia="等线" w:cs="等线"/>
                <w:i w:val="0"/>
                <w:color w:val="000000"/>
                <w:kern w:val="0"/>
                <w:sz w:val="18"/>
                <w:szCs w:val="18"/>
                <w:u w:val="none"/>
                <w:lang w:val="en-US" w:eastAsia="zh-CN" w:bidi="ar"/>
              </w:rPr>
              <w:t>平方米</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lang w:val="en-US"/>
              </w:rPr>
            </w:pPr>
            <w:r>
              <w:rPr>
                <w:rFonts w:hint="eastAsia" w:ascii="等线" w:hAnsi="等线" w:eastAsia="等线" w:cs="等线"/>
                <w:i w:val="0"/>
                <w:color w:val="000000"/>
                <w:kern w:val="0"/>
                <w:sz w:val="18"/>
                <w:szCs w:val="18"/>
                <w:u w:val="none"/>
                <w:lang w:val="en-US" w:eastAsia="zh-CN" w:bidi="ar"/>
              </w:rPr>
              <w:t>16.85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车库及配套用房</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6263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平方米</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5826</w:t>
            </w:r>
            <w:r>
              <w:rPr>
                <w:rFonts w:hint="default" w:ascii="等线" w:hAnsi="等线" w:eastAsia="等线" w:cs="等线"/>
                <w:i w:val="0"/>
                <w:color w:val="000000"/>
                <w:kern w:val="0"/>
                <w:sz w:val="18"/>
                <w:szCs w:val="18"/>
                <w:u w:val="none"/>
                <w:lang w:val="en-US" w:eastAsia="zh-CN" w:bidi="ar"/>
              </w:rPr>
              <w:t>平方米</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lang w:val="en-US"/>
              </w:rPr>
            </w:pPr>
            <w:r>
              <w:rPr>
                <w:rFonts w:hint="eastAsia" w:ascii="等线" w:hAnsi="等线" w:eastAsia="等线" w:cs="等线"/>
                <w:i w:val="0"/>
                <w:color w:val="000000"/>
                <w:kern w:val="0"/>
                <w:sz w:val="18"/>
                <w:szCs w:val="18"/>
                <w:u w:val="none"/>
                <w:lang w:val="en-US" w:eastAsia="zh-CN" w:bidi="ar"/>
              </w:rPr>
              <w:t>18.6</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按相关规范执行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优良中低差</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良</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8</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人工、材料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1183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982</w:t>
            </w:r>
            <w:r>
              <w:rPr>
                <w:rFonts w:hint="default" w:ascii="等线" w:hAnsi="等线" w:eastAsia="等线" w:cs="等线"/>
                <w:i w:val="0"/>
                <w:color w:val="000000"/>
                <w:kern w:val="0"/>
                <w:sz w:val="18"/>
                <w:szCs w:val="18"/>
                <w:u w:val="none"/>
                <w:lang w:val="en-US" w:eastAsia="zh-CN" w:bidi="ar"/>
              </w:rPr>
              <w:t>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lang w:val="en-US"/>
              </w:rPr>
            </w:pPr>
            <w:r>
              <w:rPr>
                <w:rFonts w:hint="eastAsia" w:ascii="等线" w:hAnsi="等线" w:eastAsia="等线" w:cs="等线"/>
                <w:i w:val="0"/>
                <w:color w:val="000000"/>
                <w:kern w:val="0"/>
                <w:sz w:val="18"/>
                <w:szCs w:val="18"/>
                <w:u w:val="none"/>
                <w:lang w:val="en-US" w:eastAsia="zh-CN" w:bidi="ar"/>
              </w:rPr>
              <w:t>4.15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机械、检测、资料</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789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712</w:t>
            </w:r>
            <w:r>
              <w:rPr>
                <w:rFonts w:hint="default" w:ascii="等线" w:hAnsi="等线" w:eastAsia="等线" w:cs="等线"/>
                <w:i w:val="0"/>
                <w:color w:val="000000"/>
                <w:kern w:val="0"/>
                <w:sz w:val="18"/>
                <w:szCs w:val="18"/>
                <w:u w:val="none"/>
                <w:lang w:val="en-US" w:eastAsia="zh-CN" w:bidi="ar"/>
              </w:rPr>
              <w:t>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lang w:val="en-US"/>
              </w:rPr>
            </w:pPr>
            <w:r>
              <w:rPr>
                <w:rFonts w:hint="eastAsia" w:ascii="等线" w:hAnsi="等线" w:eastAsia="等线" w:cs="等线"/>
                <w:i w:val="0"/>
                <w:color w:val="000000"/>
                <w:kern w:val="0"/>
                <w:sz w:val="18"/>
                <w:szCs w:val="18"/>
                <w:u w:val="none"/>
                <w:lang w:val="en-US" w:eastAsia="zh-CN" w:bidi="ar"/>
              </w:rPr>
              <w:t>4.51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提高群众获得感、幸福感</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优良中低差</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良</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4</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增加公司利润总额</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4</w:t>
            </w:r>
            <w:r>
              <w:rPr>
                <w:rFonts w:hint="default" w:ascii="等线" w:hAnsi="等线" w:eastAsia="等线" w:cs="等线"/>
                <w:i w:val="0"/>
                <w:color w:val="000000"/>
                <w:kern w:val="0"/>
                <w:sz w:val="18"/>
                <w:szCs w:val="18"/>
                <w:u w:val="none"/>
                <w:lang w:val="en-US" w:eastAsia="zh-CN" w:bidi="ar"/>
              </w:rPr>
              <w:t>5万元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lang w:val="en-US"/>
              </w:rPr>
            </w:pPr>
            <w:r>
              <w:rPr>
                <w:rFonts w:hint="eastAsia" w:ascii="等线" w:hAnsi="等线" w:eastAsia="等线" w:cs="等线"/>
                <w:i w:val="0"/>
                <w:color w:val="000000"/>
                <w:kern w:val="0"/>
                <w:sz w:val="18"/>
                <w:szCs w:val="18"/>
                <w:u w:val="none"/>
                <w:lang w:val="en-US" w:eastAsia="zh-CN" w:bidi="ar"/>
              </w:rPr>
              <w:t>4.5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持续影响时间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70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70年</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居民满意度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80.61</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完成4695.8平方米的道路及地面铺装，6263平方米的地下车库及配套用房。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51080022T000007107028-市本级公租房委托管理费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根据《广元市本级公共租赁住房委托管理合同》对市本级14个公共租赁住房小区进行日常管理，保障公租房小区日常管理服务及小区居民居住环境稳步提升。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广元市本级公共租赁住房委托管理合同》中相关约定，以不定期的形式对所管辖的14个公共租赁住房小区进行日常管护巡查，针对巡查情况，立即进行整改。截止2022年12月31日，已全面完成对14个小区的日常管理，工人工资发放以及小区内小型的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2020年1月至2021年12月按照委托管理合同以及考核办法落实对合同内小区的维护与管理。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353.78</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353.78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353.78</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353.78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管理公租房小区数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公租房套数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套</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管理面积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279713.44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287431.56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公租房日常管理服务水平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2022年12月31日前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2020年委托费尾款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已全额支付</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2021年委托费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已全额支付</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项目效果指标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小区居住环境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保障小区居民居住环境稳步提升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小区住户满意度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截止评估时点，我公司对所管辖小区的管理做到居民满意度达到95%以上，对各小区的绿化、人文关怀等也做到井井有条，在做到上述管理标准的同时，每年年底也会组织公司工作人员对困难承租户进行新年慰问。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1、按照公共租赁住房小区《委托管理合同》，合同中明确约定以0.8元/平方米/月的管护费，但该项资金仅仅作为人工工资以及小区小型的维修维护，并未包含中、大型的更换及维修设施设备费用。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2、关于对不符合继续承租保障性住房的承租户清退问题，由于我公司属于国有企业，并无清退承租户的行政权</w:t>
            </w:r>
            <w:r>
              <w:rPr>
                <w:rFonts w:hint="eastAsia" w:ascii="宋体" w:hAnsi="宋体" w:cs="宋体"/>
                <w:i w:val="0"/>
                <w:color w:val="000000"/>
                <w:kern w:val="0"/>
                <w:sz w:val="16"/>
                <w:szCs w:val="16"/>
                <w:u w:val="none"/>
                <w:lang w:val="en-US" w:eastAsia="zh-CN" w:bidi="ar"/>
              </w:rPr>
              <w:t>力</w:t>
            </w: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1.是能否帮助我公司在市财政申请专项中、大修基金；2.是能否组织相关行政部门对现有的承租户进行一次全面的清查，对不符合居住条件以及恶意欠租的承租户进行清退。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51080022T000007187077-省级城乡建设发展专项资金预算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一是建立健全城市排水管网排查和定期检测制度，形成城市排水管网地理信息系统，为管网改扩建服务；二是建成广元市污水处理设施运行监管信息化平台，加快推进城镇污水和城乡垃圾处理设施建设，切实改善城乡生态环境质量，更好满足人民群众对美好环境的需求。</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一是建立健全城市排水管网排查和定期检测制度，形成城市排水管网地理信息系统，为管网改扩建服务；二是建成广元市污水处理设施运行监管信息化平台，加快推进城镇污水和城乡垃圾处理设施建设，切实改善城乡生态环境质量，更好满足人民群众对美好环境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是建立健全城市排水管网排查和定期检测制度，形成城市排水管网地理信息系统，为管网改扩建服务；二是建成广元市污水处理设施运行监管信息化平台，加快推进城镇污水和城乡垃圾处理设施建设，切实改善城乡生态环境质量，更好满足人民群众对美好环境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456.00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48.39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指标下达时间为2022年12月30日，结转下年支付。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456.00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48.39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建设信息化平台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市政排水官网排查</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km</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推进智慧城市建设奠定基础，为下一步精准推进市城区排水管网雨污分流改造，病害治理等工作提供了依据。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推进智慧城市建设奠定基础，为下一步精准推进市城区排水管网雨污分流改造，病害治理等工作提供了依据。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市民满意度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官网排查尾款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4076143.83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污水处理信息化平台尾款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483856.17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483856.17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91.06</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绩效目标设置合理，自评得分91.06分。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51080022T000007226690-2018年度广元市城区排水排污日常维护及应急抢险工程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破损井盖、雨篦约1800套，管网修复更换约5公里，泵站维护值守10座，对市城区约680公里排水设施运行汛前清淤。管道、检查井完好率达100%。按照轻重缓急的原则依次时行整治，快修快补，确保管网设施完好，保障市城区排水排污畅通，群众出行无安全隐患，无内涝灾害发生。</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已完成市城区管网清淤，破损井盖更换，破损管网修复，新建排水排污管网，泵站维护管理值守等确保市城区排水排污设施正常运行。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更换破损井盖、雨篦约1800套，管网修复更换约5公里，泵站维护值守10座，对市城区约680公里排水设施运行汛前清淤。管道、检查井完好率达100%。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管网清淤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公里</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管网修复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千米</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泵站守护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更换井盖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套</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前期费用（监理费、设计费、审计费等）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118.21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工程费用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对工作的促进作用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保障市城区排水排污畅通，群众安全出行，无内涝灾害发生。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对环境的促进作用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确保无污水溢流入河，保障南河及嘉陵江水质，提高市城区人居生活环境。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可持续影响时间</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绩效目标设置合理、预算执行较好，较好完成目标任务，自评得分100分。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项目后期工作进度较缓慢、绩效管理意识不强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今后进一步加强项目管理，提高财政投资效益。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51080022T000007410310-城市体检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取我市中心城区（范围涵盖利州区、昭化区、朝天区和经开区），围绕生态宜居、城市特色、交通便捷、生活舒适、多元包容、安全韧性、城市活力、城市人居环境满意度等8个方面88项基本指标进行评估，完成自评估并形成城市体检报告，找准广元“城市病”病因，坚持问题导向，制定有效到位的“体检+治病”系统性改进措施形成城市整治提升方案，为有序实施城市更新，全面提升城市综合承载力奠定坚实基础。</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年度目标。完成了采相关数据采集、数据分析工作，形成“必检指标+特色指标+自选指标”的105项三元指标体系，编制完成《广元市2022年度城市体检报告（送审稿）》，并针对发现的城市问题，提出了相应提升措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局通过政府采购竞争性磋商方式，选取四川省城乡建设研究院作为2022年广元市城市体检项目编制单位，经现场踏勘、访谈等方式采集城市基础数据和资料5000余份，2022年12月，省城建院综合体检指标分析结果和社会调查结果，按照定性和定量、主观和客观相结合的原则分析论证，综合评价城市人居环境质量，总结了城市发展的短板弱项，提出了相应“城市病”治理对策建议，编制完成了《广元市2022年度城市体检报告（初稿）》。后经组织相关部门、局属单位科室研究并修改完善，形成了《广元市2022年度城市体检报告（征求意见稿）》。2023年1月9日，我局书面征求各相关部门意见并修改完善，形成了《广元市2022年度城市体检报告（送审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62.30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62.30%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其中签订合同金额89万元，按合同约定进度已完成70%。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62.30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62.30%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体检范围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城市体检报告符合城市实际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按标准完成</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已完成《广元市2022年度城市体检报告（送审稿）》</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委托业务服务费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合同金额89万元，按合同约定进度已完成70%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全面提升城市综合承载力奠定坚实基础</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为有序实施城市更新，全面提升城市综合承载力奠定坚实基础</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改善生态环境，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不断改善生态环境，持续提升城市品质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社会公众满意度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自评总分100分。城市体检报告分析我市城市建设突出成效、城市发展潜力优势和城市建设问题短板，提出了治理措施建议，并列出《城市人居环境质量提升行动方案建议》。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保障单位日常运转，提高预算编制质量，严格执行预算</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77.40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77.37</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77.37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77.40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77.37</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77.37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小于100%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51080023R000007612345-规范后市级基础绩效奖及生活补助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严格执行相关政策，保障工绩效奖及时发放、足额发放，预算编制科学合理，减少结余资金。</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严格执行相关政策，保障工绩效奖及时发放、足额发放，预算编制科学合理，减少结余资金。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严格执行相关政策，保障工绩效奖及时发放、足额发放，预算编制科学合理，减少结余资金。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135.11</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103.97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追加绩效奖补助，用于发放职工绩效奖。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135.11</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103.97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结余率（计算方法为：结余数/预算数）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97.7</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严格执行相关政策，保障工绩效奖及时发放、足额发放，预算编制科学合理，减少结余资金。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51080023T000007528269-项目前期工作激励2022年省预算内基本建设资金支出预算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完成《广元市中心城区内涝治理三年攻坚行动方案》、西二环道路安全提升工程项目前期费用，市中心城区2022年-2024年市政道路海绵化提升改造项目可研费用。</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完成《广元市中心城区内涝治理三年攻坚行动方案》、西二环道路安全提升工程项目前期费用，市中心城区2022年-2024年市政道路海绵化提升改造项目可研费用。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完成《广元市中心城区内涝治理三年攻坚行动方案》、西二环道路安全提升工程项目前期费用，市中心城区2022年-2024年市政道路海绵化提升改造项目可研费用。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追加项目前期工作经费，用于激励2022年省预算内基本建设项目前期工作。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实施方案数量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套</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4套</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可研报告数量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个</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通过率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3月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城市内涝治理能力、市政设施安全运行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提升城市排水防涝能力，完善城市基础设施，海绵化提升改造、改善城市环境质量，保障城市居民的安全出行。</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提升城市排水防涝能力，完善城市基础设施，海绵化提升改造、改善城市环境质量，保障城市居民的安全出行。</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公众满意度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编制费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30万元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目标设置合理、预算执行较好，全面完成目标任务，自评得分100分。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51080023T000007657161-2022年中央城市管网及污水处理补助资金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目标1：城市内涝防治、雨水收集与利用、城市生活污水集中收集等能力明显提升。</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目标2：海绵城市立法和制度建设按目标推进，建立海绵城市规划建设管控制度。</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目标3：绩效考核制度、投融资制度不断完善。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目标4：资金及时下达，资金的协同性、有效性明显提升。</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母标5：人民群众满意度达到95%以上。</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目标1：城市内涝防治、雨水收集与利用、城市生活污水集中收集等能力明显提升。</w:t>
            </w:r>
            <w:r>
              <w:rPr>
                <w:rFonts w:hint="default" w:ascii="黑体" w:hAnsi="黑体" w:eastAsia="黑体" w:cs="黑体"/>
                <w:i w:val="0"/>
                <w:color w:val="000000"/>
                <w:kern w:val="0"/>
                <w:sz w:val="18"/>
                <w:szCs w:val="18"/>
                <w:u w:val="none"/>
                <w:lang w:val="en-US" w:eastAsia="zh-CN" w:bidi="ar"/>
              </w:rPr>
              <w:br w:type="textWrapping"/>
            </w:r>
            <w:r>
              <w:rPr>
                <w:rFonts w:hint="default" w:ascii="黑体" w:hAnsi="黑体" w:eastAsia="黑体" w:cs="黑体"/>
                <w:i w:val="0"/>
                <w:color w:val="000000"/>
                <w:kern w:val="0"/>
                <w:sz w:val="18"/>
                <w:szCs w:val="18"/>
                <w:u w:val="none"/>
                <w:lang w:val="en-US" w:eastAsia="zh-CN" w:bidi="ar"/>
              </w:rPr>
              <w:t>目标2：海绵城市立法和制度建设按目标推进，建立海绵城市规划建设管控制度。</w:t>
            </w:r>
            <w:r>
              <w:rPr>
                <w:rFonts w:hint="default" w:ascii="黑体" w:hAnsi="黑体" w:eastAsia="黑体" w:cs="黑体"/>
                <w:i w:val="0"/>
                <w:color w:val="000000"/>
                <w:kern w:val="0"/>
                <w:sz w:val="18"/>
                <w:szCs w:val="18"/>
                <w:u w:val="none"/>
                <w:lang w:val="en-US" w:eastAsia="zh-CN" w:bidi="ar"/>
              </w:rPr>
              <w:br w:type="textWrapping"/>
            </w:r>
            <w:r>
              <w:rPr>
                <w:rFonts w:hint="default" w:ascii="黑体" w:hAnsi="黑体" w:eastAsia="黑体" w:cs="黑体"/>
                <w:i w:val="0"/>
                <w:color w:val="000000"/>
                <w:kern w:val="0"/>
                <w:sz w:val="18"/>
                <w:szCs w:val="18"/>
                <w:u w:val="none"/>
                <w:lang w:val="en-US" w:eastAsia="zh-CN" w:bidi="ar"/>
              </w:rPr>
              <w:t>目标3：绩效考核制度、投融资制度不断完善。</w:t>
            </w:r>
            <w:r>
              <w:rPr>
                <w:rFonts w:hint="default" w:ascii="黑体" w:hAnsi="黑体" w:eastAsia="黑体" w:cs="黑体"/>
                <w:i w:val="0"/>
                <w:color w:val="000000"/>
                <w:kern w:val="0"/>
                <w:sz w:val="18"/>
                <w:szCs w:val="18"/>
                <w:u w:val="none"/>
                <w:lang w:val="en-US" w:eastAsia="zh-CN" w:bidi="ar"/>
              </w:rPr>
              <w:br w:type="textWrapping"/>
            </w:r>
            <w:r>
              <w:rPr>
                <w:rFonts w:hint="default" w:ascii="黑体" w:hAnsi="黑体" w:eastAsia="黑体" w:cs="黑体"/>
                <w:i w:val="0"/>
                <w:color w:val="000000"/>
                <w:kern w:val="0"/>
                <w:sz w:val="18"/>
                <w:szCs w:val="18"/>
                <w:u w:val="none"/>
                <w:lang w:val="en-US" w:eastAsia="zh-CN" w:bidi="ar"/>
              </w:rPr>
              <w:t>目标4：资金及时下达，资金的协同性、有效性明显提升。</w:t>
            </w:r>
            <w:r>
              <w:rPr>
                <w:rFonts w:hint="default" w:ascii="黑体" w:hAnsi="黑体" w:eastAsia="黑体" w:cs="黑体"/>
                <w:i w:val="0"/>
                <w:color w:val="000000"/>
                <w:kern w:val="0"/>
                <w:sz w:val="18"/>
                <w:szCs w:val="18"/>
                <w:u w:val="none"/>
                <w:lang w:val="en-US" w:eastAsia="zh-CN" w:bidi="ar"/>
              </w:rPr>
              <w:br w:type="textWrapping"/>
            </w:r>
            <w:r>
              <w:rPr>
                <w:rFonts w:hint="default" w:ascii="黑体" w:hAnsi="黑体" w:eastAsia="黑体" w:cs="黑体"/>
                <w:i w:val="0"/>
                <w:color w:val="000000"/>
                <w:kern w:val="0"/>
                <w:sz w:val="18"/>
                <w:szCs w:val="18"/>
                <w:u w:val="none"/>
                <w:lang w:val="en-US" w:eastAsia="zh-CN" w:bidi="ar"/>
              </w:rPr>
              <w:t>母标5：人民群众满意度达到95%以上。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目标1：城市内涝防治、雨水收集与利用、城市生活污水集中收集等能力明显提升。</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目标2：海绵城市立法和制度建设按目标推进，建立海绵城市规划建设管控制度。</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目标3：绩效考核制度、投融资制度不断完善。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目标4：资金及时下达，资金的协同性、有效性明显提升。</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母标5：人民群众满意度达到95%以上。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29,000.00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29,000.00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追加2022年中央城市管网及污水处理补助资金，用于海绵城市建设。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29,000.00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29,000.00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雨水资源化利用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拟完成的立法或长效机制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项</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城市防洪标准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重点推进三江新区段堤防建设，中心城区其它河段达到50年一遇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重点推进三江新区段堤防建设，中心城区其它河段达到50年一遇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内涝积水区段消除比例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历史易涝点消除80%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历史易涝点消除80%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内涝防治标准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重点推进未达标区域内涝治理，城区其它区域达到30年一遇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重点推进未达标区域内涝治理，城区其它区域达到30年一遇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8</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天然水域面积比例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2.27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2.274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可透水地面面积比例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39.692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城市生活污水集中收集率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62.2(2021年人口</w:t>
            </w:r>
            <w:r>
              <w:rPr>
                <w:rFonts w:hint="eastAsia" w:ascii="等线" w:hAnsi="等线" w:eastAsia="等线" w:cs="等线"/>
                <w:i w:val="0"/>
                <w:color w:val="000000"/>
                <w:kern w:val="0"/>
                <w:sz w:val="18"/>
                <w:szCs w:val="18"/>
                <w:u w:val="none"/>
                <w:lang w:val="en-US" w:eastAsia="zh-CN" w:bidi="ar"/>
              </w:rPr>
              <w:t>）</w:t>
            </w:r>
            <w:r>
              <w:rPr>
                <w:rFonts w:hint="default" w:ascii="等线" w:hAnsi="等线" w:eastAsia="等线" w:cs="等线"/>
                <w:i w:val="0"/>
                <w:color w:val="000000"/>
                <w:kern w:val="0"/>
                <w:sz w:val="18"/>
                <w:szCs w:val="18"/>
                <w:u w:val="none"/>
                <w:lang w:val="en-US" w:eastAsia="zh-CN" w:bidi="ar"/>
              </w:rPr>
              <w:br w:type="textWrapping"/>
            </w:r>
            <w:r>
              <w:rPr>
                <w:rFonts w:hint="default" w:ascii="等线" w:hAnsi="等线" w:eastAsia="等线" w:cs="等线"/>
                <w:i w:val="0"/>
                <w:color w:val="000000"/>
                <w:kern w:val="0"/>
                <w:sz w:val="18"/>
                <w:szCs w:val="18"/>
                <w:u w:val="none"/>
                <w:lang w:val="en-US" w:eastAsia="zh-CN" w:bidi="ar"/>
              </w:rPr>
              <w:t>64.9(2022年快报人口</w:t>
            </w:r>
            <w:r>
              <w:rPr>
                <w:rFonts w:hint="eastAsia" w:ascii="等线" w:hAnsi="等线" w:eastAsia="等线" w:cs="等线"/>
                <w:i w:val="0"/>
                <w:color w:val="000000"/>
                <w:kern w:val="0"/>
                <w:sz w:val="18"/>
                <w:szCs w:val="18"/>
                <w:u w:val="none"/>
                <w:lang w:val="en-US" w:eastAsia="zh-CN" w:bidi="ar"/>
              </w:rPr>
              <w:t>）</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拟开展的海绵城市建设培训、宣传次数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次</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项目完成时间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黑臭水体消除比例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城市污水处理厂进水BOD平均浓度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0.09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克</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0.1058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中央资金合规使用，有力支撑项目建设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合规使用中央资金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合规使用中央资金</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地方按方案筹集资金，充分带动社会资金参与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按方案筹集资金，充分带动社会资金参与</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按方案筹集资金，充分带动社会资金参与</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拟建立的海绵城市规划建设管控制度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优化管控机制，强化落实</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优化管控机制，强化落实</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市政府对各区、各部门的绩效考核制度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将海绵城市纳入全市综合考核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将海绵城市纳入全市综合考核</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拟制定的投融资机制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完善并落实海绵城市投融资机制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完善并落实海绵城市投融资机制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公众对海绵城市建设满意度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项目投资额</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158000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55700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该项目自评得分100分，执行情况较好。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51080023T000007877065-西二环延伸段道路工程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完成1000米路基回填，完成上跨京昆高速大桥下部结构，完成桥梁梁预制场建设。从而提高区域通行能力、拉动经济增长，极大的方便周边居民的生产和生活。</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2022年12月完成建设。提高了区域通行能力、极大的方便了周边居民的生产和生活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新建长11.349千米，宽5-38米的道路及匝道，建设内容包括道路工程、桥涵工程、排水、照明、交安及附属设施建设。该项目于2020年9月启动实施，目前正在建设中。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追加指标用于西二环延伸道路工程。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改造面积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10.5万</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验收合格</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达到国家现行验收标准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按时完成</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完成投资</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提升城市形象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提升城市品位，树立良好的城市形象，促进广元市的社会和谐发展。</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拉动城市经济发展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间接促进广元市经济发展与社会进步，为广元市招商引资创造极好条件。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改善周边人居环境</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提升广元市城区河道岸线整治，极大的缓解水质污染。</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改善环境</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通过植绿、添彩，美化生活环境，提升城市形象和品位。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居民满意度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建成后，进一步提升了城市品位，有利于改善周边居民的出行条件，提高了广元市城市形象，间接促进广元市经济发展与社会进步，有利于周边产业园区的发展为广元市招商引资创造极好条件，拉动城市经济发展，同时带动周边地价上涨。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项目单位预算绩效意识不强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加强项目单位预算绩效管理，提高绩效管理水平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51080023T000007882099-广元市利州区龙潭乡元山弃土场及配套工程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钢波纹管排水管道施工；完成进出场道路施工，并配套安装照明、监控、喷淋系统、照明系统等设施；四季度完成该项目竣工验收；完成投资1000万元。通过收纳弃土，进行土地一级开发整理，达到一定年限的沉降期后，可以作为城市建设用地。</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完成钢波纹管排水管道施工；完成进出场道路施工；完成该项目阶段性竣工验收；完成投资1000万元。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主要建设内容为弃土填埋场、拦渣坝、排水沟、盲沟、截洪沟及管理用房、照明、监控等配套设施。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追加指标用于广元市利州区龙潭乡元山弃土场及配套工程。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w:t>
            </w:r>
          </w:p>
        </w:tc>
        <w:tc>
          <w:tcPr>
            <w:tcW w:w="13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1.钢波纹管排水管道施工2.弃土场进出场道路施工</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1.完成临万龙路长约1200米钢波纹管排水管道安装，并按设计要求进行土方回填夯实。2.完成弃土场长约120米进出场道路施工，同步完成照明、监控、喷淋系统、照明系统等设施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验收合格率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完成年度投资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完善配套设施，为市城区工程建设项目弃土提供条件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完善配套设施，为市城区工程建设项目弃土提供条件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创造收入</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本年度收纳弃土297342立方米，资金90万元。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喷播植草，生态修复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对通村村道及截水沟开挖的边坡进行喷播植草，对收纳弃土表面采取植树、种草、覆盖防尘网进行生态修复。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形成建设用地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该项目自评得分95分，执行情况较好。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51080023T000008201482-西入口绿化提升改造工程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项目提升改造绿地以及林地10.5万平方米；计划2022年2月开始实施，2022年12月前完成实施。改善周边环境，美化城市、提升城市品质</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2022年11月完成建设。已改善周边环境，美化城市、提升城市品质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主要对陵江高速出入口及周边绿地、袁家坝路口绿地、马踏飞燕节点及山体、孟家沟河岸、108国道南侧挡墙及北侧山体、宝成铁路北侧山体等近12万平方米绿地进行提升改造</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包括绿化景观提升</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挡墙(桥墩</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绿化美化、陵宝路下穿隧道栏杆更换、河道及山体生态修复、宣传标语设置等。该项目于2022年2月启动实施，2022年11月完成建设。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改造面积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10.5万</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验收合格</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达到国家现行验收标准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按时完成</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完成投资</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提升城市形象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提升城市品位，树立良好的城市形象，促进广元市的社会和谐发展。</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拉动城市经济发展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间接促进广元市经济发展与社会进步，为广元市招商引资创造极好条件。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改善周边人居环境</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提升广元市城区河道岸线整治，极大的缓解水质污染。</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改善环境</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通过植绿、添彩，美化生活环境，提升城市形象和品位。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居民满意度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居民满意度100%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15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建成后，提高项目周边区域居民的生活环境，提升城市品位，树立良好的城市形象，促进广元市的社会和谐发展。使项目区及周边成为环境的理想场所，提高了广元市城市形象，产生了良好的环境效益。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51080023T000008457507-海绵城市建设与城市更新工作培训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专题学习习近平总书记关于城市工作的重要论述、海绵城市建设理念、海绵城市规划建设管理全过程管控要求以及海绵城市建设典型案例等，提高对海绵城市建设理念认知水平。</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县区、市级部门以及国有企业共60人参加。通过“理论培训+现场教学+研讨交流”相结合的方式，学习海绵城市建设与城市更新理念、方法和主要工作等内容。学员反响热烈，对海绵城市建设有了更深的认识，进一步凝聚工作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通过一周集中培训，深入学习习近平总书记关于城市工作的重要论述、海绵城市建设理念、海绵城市规划建设管理全过程管控要求以及海绵城市建设典型案例，学习城市更新理念、方法及主要工作等方面内容。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培训人数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学员参训率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提高海绵城市建设及城市更新工作质效</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优良中差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学员对培训工作满意度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培训费用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此次培训学员参训率较高，培训费用合理且无超范围支出，采取“理论培训+现场教学+研讨交流”相结合的方式，遴选浙江大学校内外具有丰富教学和实践经验的优秀教师授课，培训效果较好，进一步夯实海绵城市建设和城市更新工作管理人员的理论基础，有力于提高我市海绵城市建设与城市更新工作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51080023T000008569376-两新组织党建工作经费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按照市委组织部《关于进一步加强“两新”组织经费保障的通知》要求，每年对“两新”组织党组织书记实行岗位补贴，促进两新组织更好发挥党建引领作用。</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按照市委组织部《关于进一步加强“两新”组织经费保障的通知》要求，每年对“两新”组织党组织书记实行岗位补贴，促进两新组织更好发挥党建引领作用。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市委组织部《关于进一步加强“两新”组织经费保障的通知》要求，对已建的每个“两新”组织党组织，按照党委不少于10000元／年、党总支不少于5000元／年、党支部不少于3000元／年的标准由同级财政预算补助活动经费。每年对“两新”组织党组织书记实行岗位补贴，按照党组织隶属关系，按照每人每年不低于1200元的标准纳入同级财政预算予以保障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2.26</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55.75%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5.58</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该项目指标于2022年12月27日下达，余额结转下年使用。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2.26</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55.75%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补助发放完成时间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补助人数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人</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补助金额</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22600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12600元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余额结转下年使用。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促进两新组织更好发挥党建引领作用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补助人员满意度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95.58</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该项目自评得分95.58分，执行较好。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51080023T000008717709-科技拔尖人才补助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建工集团有限公司梁涛、四川豪运建设集团有限公司王钦昌被评选为“广元市第十届科技拔尖人才”。根据《中共广元市组织部关于开展广元市第十届科技拔尖人才评选活动的通知》精神，管理期内发放岗位补贴。</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指标下达时间为2022年12月29日，结转下年支付。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根据《中共广元市组织部关于开展广元市第十届科技拔尖人才评选活动的通知》精神，管理期内发放岗位补贴。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指标下达时间为2022年12月29日，结转下年支付。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发放时间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补助人员数量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助推我市“四大经济“蓬勃发展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补助对象满意度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补助标准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元/人*月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600元/人*月</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该项目指标下达时间过晚，当年未及时支付，结转下年使用，自评得分90分。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指标下达时间晚，当年未及时支付。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建议提前下达项目资金，确保当年完成支付。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51080023T000008963711-柳林路建设工程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完成新建道路1800米，完成雨污水管网600米及绿化、照明等；拉动城市经济发展，同时带动周边地价上涨。</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完成新建道路1800米，完成雨污水管网600米及绿化、照明等；拉动城市经济发展，同时带动周边地价上涨。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完成新建道路1800米，完成雨污水管网600米及绿化、照明等；拉动城市经济发展，同时带动周边地价上涨。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指标下达时间为2022年12月30日，结转下年支付。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项目完成时间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雨污水管网</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米</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新建道路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1800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米</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800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项目验收合格率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生态效益指标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解决周边原始河道雨季内涝、提升绿化品质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解决周边原始河道雨季内涝、提升绿化品质</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完善城市基础设施配套</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完善城市基础设施配套</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拉动城市经济发展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拉动城市经济发展</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公众满意度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项目投资额</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7000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5460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完成新建道路1800米，完成雨污水管网600米及绿化、照明等；拉动城市经济发展，同时带动周边地价上涨。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p>
            <w:pPr>
              <w:rPr>
                <w:rFonts w:hint="eastAsia" w:ascii="宋体" w:hAnsi="宋体" w:eastAsia="宋体" w:cs="宋体"/>
                <w:i w:val="0"/>
                <w:color w:val="000000"/>
                <w:sz w:val="18"/>
                <w:szCs w:val="18"/>
                <w:u w:val="none"/>
              </w:rPr>
            </w:pPr>
          </w:p>
        </w:tc>
        <w:tc>
          <w:tcPr>
            <w:tcW w:w="1385"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4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680"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132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51080023T000008965147-城市北入口提升工程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广元市住房和城乡建设局部门</w:t>
            </w:r>
          </w:p>
        </w:tc>
        <w:tc>
          <w:tcPr>
            <w:tcW w:w="15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对市城区将军桥至工农镇108国道两侧、嘉陵江城市边，规划长度约3.4公里，规划面积约16.7公顷的绿化景观完成改造并完成移交，拉动城市经济发展、改善周边人居环境。</w:t>
            </w:r>
          </w:p>
        </w:tc>
        <w:tc>
          <w:tcPr>
            <w:tcW w:w="5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对市城区将军桥至工农镇108国道两侧、嘉陵江城市边，规划长度约3.4公里，规划面积约16.7公顷的绿化景观完成改造并完成移交，拉动城市经济发展、改善周边人居环境。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2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对市城区将军桥至工农镇108国道两侧、嘉陵江城市边，规划长度约3.4公里，规划面积约16.7公顷的绿化景观完成改造并完成移交，拉动城市经济发展、改善周边人居环境。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指标下达时间为2022年12月30日，结转下年支付。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绿化景观改造长度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3.4</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公里</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项目验收合格率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项目完成时间</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月</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完善城市基础设施配套</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拉动城市经济发展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生态效益指标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解决周边原始河道雨季内涝、提升绿化品质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公众满意度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经济成本指标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项目投资额</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5007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4300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90</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对市城区将军桥至工农镇108国道两侧、嘉陵江城市边，规划长度约3.4公里，规划面积约16.7公顷的绿化景观完成改造并完成移交，拉动城市经济发展、改善周边人居环境。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bl>
    <w:p>
      <w:pPr>
        <w:spacing w:line="600" w:lineRule="exact"/>
        <w:jc w:val="left"/>
        <w:outlineLvl w:val="9"/>
        <w:rPr>
          <w:rFonts w:hint="eastAsia" w:ascii="仿宋_GB2312" w:hAnsi="Calibri" w:eastAsia="仿宋_GB2312" w:cs="仿宋"/>
          <w:color w:val="auto"/>
          <w:kern w:val="0"/>
          <w:sz w:val="32"/>
          <w:szCs w:val="32"/>
          <w:highlight w:val="none"/>
          <w:lang w:val="en-US" w:eastAsia="zh-CN" w:bidi="ar-SA"/>
        </w:rPr>
      </w:pPr>
    </w:p>
    <w:p>
      <w:pPr>
        <w:spacing w:line="600" w:lineRule="exact"/>
        <w:ind w:firstLine="640" w:firstLineChars="200"/>
        <w:jc w:val="left"/>
        <w:outlineLvl w:val="9"/>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spacing w:line="600" w:lineRule="exact"/>
        <w:jc w:val="both"/>
        <w:outlineLvl w:val="9"/>
        <w:rPr>
          <w:rFonts w:hint="eastAsia" w:ascii="黑体" w:hAnsi="黑体" w:eastAsia="黑体"/>
          <w:color w:val="auto"/>
          <w:sz w:val="44"/>
          <w:szCs w:val="44"/>
          <w:highlight w:val="none"/>
        </w:rPr>
        <w:sectPr>
          <w:pgSz w:w="16838" w:h="11906" w:orient="landscape"/>
          <w:pgMar w:top="1803" w:right="1440" w:bottom="1803" w:left="1440" w:header="851" w:footer="992" w:gutter="0"/>
          <w:pgNumType w:fmt="decimal"/>
          <w:cols w:space="0" w:num="1"/>
          <w:titlePg/>
          <w:rtlGutter w:val="0"/>
          <w:docGrid w:type="lines" w:linePitch="319" w:charSpace="0"/>
        </w:sectPr>
      </w:pPr>
    </w:p>
    <w:p>
      <w:pPr>
        <w:spacing w:line="600" w:lineRule="exact"/>
        <w:jc w:val="center"/>
        <w:outlineLvl w:val="0"/>
        <w:rPr>
          <w:rFonts w:hint="eastAsia" w:ascii="仿宋" w:hAnsi="仿宋" w:eastAsia="仿宋"/>
          <w:b w:val="0"/>
          <w:color w:val="auto"/>
          <w:highlight w:val="none"/>
        </w:rPr>
      </w:pPr>
      <w:bookmarkStart w:id="112" w:name="_Toc7692"/>
      <w:bookmarkStart w:id="113" w:name="_Toc23640"/>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bookmarkEnd w:id="106"/>
      <w:bookmarkEnd w:id="111"/>
      <w:bookmarkEnd w:id="112"/>
      <w:bookmarkEnd w:id="113"/>
      <w:bookmarkStart w:id="114" w:name="_Toc15396619"/>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15" w:name="_Toc31918"/>
      <w:bookmarkStart w:id="116" w:name="_Toc17405"/>
      <w:r>
        <w:rPr>
          <w:rFonts w:hint="eastAsia" w:ascii="仿宋_GB2312" w:hAnsi="Calibri" w:eastAsia="仿宋_GB2312" w:cs="仿宋"/>
          <w:b w:val="0"/>
          <w:bCs w:val="0"/>
          <w:color w:val="auto"/>
          <w:kern w:val="0"/>
          <w:sz w:val="32"/>
          <w:szCs w:val="32"/>
          <w:highlight w:val="none"/>
          <w:lang w:val="en-US" w:eastAsia="zh-CN" w:bidi="ar-SA"/>
        </w:rPr>
        <w:t>一、收入支出决算总表</w:t>
      </w:r>
      <w:bookmarkEnd w:id="114"/>
      <w:bookmarkEnd w:id="115"/>
      <w:bookmarkEnd w:id="116"/>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17" w:name="_Toc6294"/>
      <w:bookmarkStart w:id="118" w:name="_Toc1741"/>
      <w:bookmarkStart w:id="119" w:name="_Toc15396620"/>
      <w:r>
        <w:rPr>
          <w:rFonts w:hint="eastAsia" w:ascii="仿宋_GB2312" w:hAnsi="Calibri" w:eastAsia="仿宋_GB2312" w:cs="仿宋"/>
          <w:b w:val="0"/>
          <w:bCs w:val="0"/>
          <w:color w:val="auto"/>
          <w:kern w:val="0"/>
          <w:sz w:val="32"/>
          <w:szCs w:val="32"/>
          <w:highlight w:val="none"/>
          <w:lang w:val="en-US" w:eastAsia="zh-CN" w:bidi="ar-SA"/>
        </w:rPr>
        <w:t>二、收入决算表</w:t>
      </w:r>
      <w:bookmarkEnd w:id="117"/>
      <w:bookmarkEnd w:id="118"/>
      <w:bookmarkEnd w:id="119"/>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20" w:name="_Toc17"/>
      <w:bookmarkStart w:id="121" w:name="_Toc15396621"/>
      <w:bookmarkStart w:id="122" w:name="_Toc30564"/>
      <w:r>
        <w:rPr>
          <w:rFonts w:hint="eastAsia" w:ascii="仿宋_GB2312" w:hAnsi="Calibri" w:eastAsia="仿宋_GB2312" w:cs="仿宋"/>
          <w:b w:val="0"/>
          <w:bCs w:val="0"/>
          <w:color w:val="auto"/>
          <w:kern w:val="0"/>
          <w:sz w:val="32"/>
          <w:szCs w:val="32"/>
          <w:highlight w:val="none"/>
          <w:lang w:val="en-US" w:eastAsia="zh-CN" w:bidi="ar-SA"/>
        </w:rPr>
        <w:t>三、支出决算表</w:t>
      </w:r>
      <w:bookmarkEnd w:id="120"/>
      <w:bookmarkEnd w:id="121"/>
      <w:bookmarkEnd w:id="122"/>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23" w:name="_Toc15396622"/>
      <w:bookmarkStart w:id="124" w:name="_Toc30103"/>
      <w:bookmarkStart w:id="125" w:name="_Toc605"/>
      <w:r>
        <w:rPr>
          <w:rFonts w:hint="eastAsia" w:ascii="仿宋_GB2312" w:hAnsi="Calibri" w:eastAsia="仿宋_GB2312" w:cs="仿宋"/>
          <w:b w:val="0"/>
          <w:bCs w:val="0"/>
          <w:color w:val="auto"/>
          <w:kern w:val="0"/>
          <w:sz w:val="32"/>
          <w:szCs w:val="32"/>
          <w:highlight w:val="none"/>
          <w:lang w:val="en-US" w:eastAsia="zh-CN" w:bidi="ar-SA"/>
        </w:rPr>
        <w:t>四、财政拨款收入支出决算总表</w:t>
      </w:r>
      <w:bookmarkEnd w:id="123"/>
      <w:bookmarkEnd w:id="124"/>
      <w:bookmarkEnd w:id="125"/>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26" w:name="_Toc15396623"/>
      <w:bookmarkStart w:id="127" w:name="_Toc21658"/>
      <w:bookmarkStart w:id="128" w:name="_Toc22435"/>
      <w:r>
        <w:rPr>
          <w:rFonts w:hint="eastAsia" w:ascii="仿宋_GB2312" w:hAnsi="Calibri" w:eastAsia="仿宋_GB2312" w:cs="仿宋"/>
          <w:b w:val="0"/>
          <w:bCs w:val="0"/>
          <w:color w:val="auto"/>
          <w:kern w:val="0"/>
          <w:sz w:val="32"/>
          <w:szCs w:val="32"/>
          <w:highlight w:val="none"/>
          <w:lang w:val="en-US" w:eastAsia="zh-CN" w:bidi="ar-SA"/>
        </w:rPr>
        <w:t>五、财政拨款支出决算明细表</w:t>
      </w:r>
      <w:bookmarkEnd w:id="126"/>
      <w:bookmarkEnd w:id="127"/>
      <w:bookmarkEnd w:id="128"/>
      <w:bookmarkStart w:id="129" w:name="_Toc15396624"/>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30" w:name="_Toc4094"/>
      <w:bookmarkStart w:id="131" w:name="_Toc28267"/>
      <w:r>
        <w:rPr>
          <w:rFonts w:hint="eastAsia" w:ascii="仿宋_GB2312" w:hAnsi="Calibri" w:eastAsia="仿宋_GB2312" w:cs="仿宋"/>
          <w:b w:val="0"/>
          <w:bCs w:val="0"/>
          <w:color w:val="auto"/>
          <w:kern w:val="0"/>
          <w:sz w:val="32"/>
          <w:szCs w:val="32"/>
          <w:highlight w:val="none"/>
          <w:lang w:val="en-US" w:eastAsia="zh-CN" w:bidi="ar-SA"/>
        </w:rPr>
        <w:t>六、一般公共预算财政拨款支出决算表</w:t>
      </w:r>
      <w:bookmarkEnd w:id="129"/>
      <w:bookmarkEnd w:id="130"/>
      <w:bookmarkEnd w:id="131"/>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32" w:name="_Toc29022"/>
      <w:bookmarkStart w:id="133" w:name="_Toc6229"/>
      <w:bookmarkStart w:id="134" w:name="_Toc15396625"/>
      <w:r>
        <w:rPr>
          <w:rFonts w:hint="eastAsia" w:ascii="仿宋_GB2312" w:hAnsi="Calibri" w:eastAsia="仿宋_GB2312" w:cs="仿宋"/>
          <w:b w:val="0"/>
          <w:bCs w:val="0"/>
          <w:color w:val="auto"/>
          <w:kern w:val="0"/>
          <w:sz w:val="32"/>
          <w:szCs w:val="32"/>
          <w:highlight w:val="none"/>
          <w:lang w:val="en-US" w:eastAsia="zh-CN" w:bidi="ar-SA"/>
        </w:rPr>
        <w:t>七、一般公共预算财政拨款支出决算明细表</w:t>
      </w:r>
      <w:bookmarkEnd w:id="132"/>
      <w:bookmarkEnd w:id="133"/>
      <w:bookmarkEnd w:id="134"/>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35" w:name="_Toc15396626"/>
      <w:bookmarkStart w:id="136" w:name="_Toc22656"/>
      <w:bookmarkStart w:id="137" w:name="_Toc7500"/>
      <w:r>
        <w:rPr>
          <w:rFonts w:hint="eastAsia" w:ascii="仿宋_GB2312" w:hAnsi="Calibri" w:eastAsia="仿宋_GB2312" w:cs="仿宋"/>
          <w:b w:val="0"/>
          <w:bCs w:val="0"/>
          <w:color w:val="auto"/>
          <w:kern w:val="0"/>
          <w:sz w:val="32"/>
          <w:szCs w:val="32"/>
          <w:highlight w:val="none"/>
          <w:lang w:val="en-US" w:eastAsia="zh-CN" w:bidi="ar-SA"/>
        </w:rPr>
        <w:t>八、一般公共预算财政拨款基本支出决算表</w:t>
      </w:r>
      <w:bookmarkEnd w:id="135"/>
      <w:bookmarkEnd w:id="136"/>
      <w:bookmarkEnd w:id="137"/>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38" w:name="_Toc28567"/>
      <w:bookmarkStart w:id="139" w:name="_Toc15396627"/>
      <w:bookmarkStart w:id="140" w:name="_Toc24035"/>
      <w:r>
        <w:rPr>
          <w:rFonts w:hint="eastAsia" w:ascii="仿宋_GB2312" w:hAnsi="Calibri" w:eastAsia="仿宋_GB2312" w:cs="仿宋"/>
          <w:b w:val="0"/>
          <w:bCs w:val="0"/>
          <w:color w:val="auto"/>
          <w:kern w:val="0"/>
          <w:sz w:val="32"/>
          <w:szCs w:val="32"/>
          <w:highlight w:val="none"/>
          <w:lang w:val="en-US" w:eastAsia="zh-CN" w:bidi="ar-SA"/>
        </w:rPr>
        <w:t>九、一般公共预算财政拨款项目支出决算表</w:t>
      </w:r>
      <w:bookmarkEnd w:id="138"/>
      <w:bookmarkEnd w:id="139"/>
      <w:bookmarkEnd w:id="140"/>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41" w:name="_Toc15396628"/>
      <w:bookmarkStart w:id="142" w:name="_Toc29016"/>
      <w:bookmarkStart w:id="143" w:name="_Toc12176"/>
      <w:r>
        <w:rPr>
          <w:rFonts w:hint="eastAsia" w:ascii="仿宋_GB2312" w:hAnsi="Calibri" w:eastAsia="仿宋_GB2312" w:cs="仿宋"/>
          <w:b w:val="0"/>
          <w:bCs w:val="0"/>
          <w:color w:val="auto"/>
          <w:kern w:val="0"/>
          <w:sz w:val="32"/>
          <w:szCs w:val="32"/>
          <w:highlight w:val="none"/>
          <w:lang w:val="en-US" w:eastAsia="zh-CN" w:bidi="ar-SA"/>
        </w:rPr>
        <w:t>十、</w:t>
      </w:r>
      <w:bookmarkEnd w:id="141"/>
      <w:r>
        <w:rPr>
          <w:rFonts w:hint="eastAsia" w:ascii="仿宋_GB2312" w:hAnsi="Calibri" w:eastAsia="仿宋_GB2312" w:cs="仿宋"/>
          <w:b w:val="0"/>
          <w:bCs w:val="0"/>
          <w:color w:val="auto"/>
          <w:kern w:val="0"/>
          <w:sz w:val="32"/>
          <w:szCs w:val="32"/>
          <w:highlight w:val="none"/>
          <w:lang w:val="en-US" w:eastAsia="zh-CN" w:bidi="ar-SA"/>
        </w:rPr>
        <w:t>政府性基金预算财政拨款收入支出决算表</w:t>
      </w:r>
      <w:bookmarkEnd w:id="142"/>
      <w:bookmarkEnd w:id="143"/>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44" w:name="_Toc15396629"/>
      <w:bookmarkStart w:id="145" w:name="_Toc24535"/>
      <w:bookmarkStart w:id="146" w:name="_Toc11328"/>
      <w:r>
        <w:rPr>
          <w:rFonts w:hint="eastAsia" w:ascii="仿宋_GB2312" w:hAnsi="Calibri" w:eastAsia="仿宋_GB2312" w:cs="仿宋"/>
          <w:b w:val="0"/>
          <w:bCs w:val="0"/>
          <w:color w:val="auto"/>
          <w:kern w:val="0"/>
          <w:sz w:val="32"/>
          <w:szCs w:val="32"/>
          <w:highlight w:val="none"/>
          <w:lang w:val="en-US" w:eastAsia="zh-CN" w:bidi="ar-SA"/>
        </w:rPr>
        <w:t>十一、</w:t>
      </w:r>
      <w:bookmarkEnd w:id="144"/>
      <w:r>
        <w:rPr>
          <w:rFonts w:hint="eastAsia" w:ascii="仿宋_GB2312" w:hAnsi="Calibri" w:eastAsia="仿宋_GB2312" w:cs="仿宋"/>
          <w:b w:val="0"/>
          <w:bCs w:val="0"/>
          <w:color w:val="auto"/>
          <w:kern w:val="0"/>
          <w:sz w:val="32"/>
          <w:szCs w:val="32"/>
          <w:highlight w:val="none"/>
          <w:lang w:val="en-US" w:eastAsia="zh-CN" w:bidi="ar-SA"/>
        </w:rPr>
        <w:t>国有资本经营预算财政拨款收入支出决算表</w:t>
      </w:r>
      <w:bookmarkEnd w:id="145"/>
      <w:bookmarkEnd w:id="146"/>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47" w:name="_Toc15396630"/>
      <w:bookmarkStart w:id="148" w:name="_Toc31971"/>
      <w:bookmarkStart w:id="149" w:name="_Toc16026"/>
      <w:r>
        <w:rPr>
          <w:rFonts w:hint="eastAsia" w:ascii="仿宋_GB2312" w:hAnsi="Calibri" w:eastAsia="仿宋_GB2312" w:cs="仿宋"/>
          <w:b w:val="0"/>
          <w:bCs w:val="0"/>
          <w:color w:val="auto"/>
          <w:kern w:val="0"/>
          <w:sz w:val="32"/>
          <w:szCs w:val="32"/>
          <w:highlight w:val="none"/>
          <w:lang w:val="en-US" w:eastAsia="zh-CN" w:bidi="ar-SA"/>
        </w:rPr>
        <w:t>十二、</w:t>
      </w:r>
      <w:bookmarkEnd w:id="147"/>
      <w:r>
        <w:rPr>
          <w:rFonts w:hint="eastAsia" w:ascii="仿宋_GB2312" w:hAnsi="Calibri" w:eastAsia="仿宋_GB2312" w:cs="仿宋"/>
          <w:b w:val="0"/>
          <w:bCs w:val="0"/>
          <w:color w:val="auto"/>
          <w:kern w:val="0"/>
          <w:sz w:val="32"/>
          <w:szCs w:val="32"/>
          <w:highlight w:val="none"/>
          <w:lang w:val="en-US" w:eastAsia="zh-CN" w:bidi="ar-SA"/>
        </w:rPr>
        <w:t>国有资本经营预算财政拨款支出决算表</w:t>
      </w:r>
      <w:bookmarkEnd w:id="148"/>
      <w:bookmarkEnd w:id="149"/>
    </w:p>
    <w:p>
      <w:pPr>
        <w:pStyle w:val="4"/>
        <w:rPr>
          <w:rFonts w:hint="eastAsia" w:ascii="仿宋_GB2312" w:hAnsi="Calibri" w:eastAsia="仿宋_GB2312" w:cs="仿宋"/>
          <w:b w:val="0"/>
          <w:bCs w:val="0"/>
          <w:color w:val="auto"/>
          <w:kern w:val="0"/>
          <w:sz w:val="32"/>
          <w:szCs w:val="32"/>
          <w:highlight w:val="none"/>
          <w:lang w:val="en-US" w:eastAsia="zh-CN" w:bidi="ar-SA"/>
        </w:rPr>
      </w:pPr>
      <w:bookmarkStart w:id="150" w:name="_Toc15396631"/>
      <w:bookmarkStart w:id="151" w:name="_Toc9046"/>
      <w:bookmarkStart w:id="152" w:name="_Toc21239"/>
      <w:r>
        <w:rPr>
          <w:rFonts w:hint="eastAsia" w:ascii="仿宋_GB2312" w:hAnsi="Calibri" w:eastAsia="仿宋_GB2312" w:cs="仿宋"/>
          <w:b w:val="0"/>
          <w:bCs w:val="0"/>
          <w:color w:val="auto"/>
          <w:kern w:val="0"/>
          <w:sz w:val="32"/>
          <w:szCs w:val="32"/>
          <w:highlight w:val="none"/>
          <w:lang w:val="en-US" w:eastAsia="zh-CN" w:bidi="ar-SA"/>
        </w:rPr>
        <w:t>十三、</w:t>
      </w:r>
      <w:bookmarkEnd w:id="150"/>
      <w:r>
        <w:rPr>
          <w:rFonts w:hint="eastAsia" w:ascii="仿宋_GB2312" w:hAnsi="Calibri" w:eastAsia="仿宋_GB2312" w:cs="仿宋"/>
          <w:b w:val="0"/>
          <w:bCs w:val="0"/>
          <w:color w:val="auto"/>
          <w:kern w:val="0"/>
          <w:sz w:val="32"/>
          <w:szCs w:val="32"/>
          <w:highlight w:val="none"/>
          <w:lang w:val="en-US" w:eastAsia="zh-CN" w:bidi="ar-SA"/>
        </w:rPr>
        <w:t>财政拨款“三公”经费支出决算表</w:t>
      </w:r>
      <w:bookmarkEnd w:id="151"/>
      <w:bookmarkEnd w:id="152"/>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8107EC"/>
    <w:rsid w:val="11DD6519"/>
    <w:rsid w:val="16BB723D"/>
    <w:rsid w:val="18015F3F"/>
    <w:rsid w:val="1B7F57A7"/>
    <w:rsid w:val="1BE8440E"/>
    <w:rsid w:val="1D155CEE"/>
    <w:rsid w:val="20F57F95"/>
    <w:rsid w:val="240371BF"/>
    <w:rsid w:val="25711CC6"/>
    <w:rsid w:val="25C741E6"/>
    <w:rsid w:val="27842671"/>
    <w:rsid w:val="29FD04D3"/>
    <w:rsid w:val="2ABE7A3E"/>
    <w:rsid w:val="2CA234A8"/>
    <w:rsid w:val="2EFA178C"/>
    <w:rsid w:val="30B46D73"/>
    <w:rsid w:val="319F7F4E"/>
    <w:rsid w:val="373D86DE"/>
    <w:rsid w:val="375F9F41"/>
    <w:rsid w:val="383D272C"/>
    <w:rsid w:val="39AE70AB"/>
    <w:rsid w:val="3ABF1BB6"/>
    <w:rsid w:val="3BDE4167"/>
    <w:rsid w:val="3BEF66CD"/>
    <w:rsid w:val="3BFB9725"/>
    <w:rsid w:val="3BFC6BA0"/>
    <w:rsid w:val="3C0C0783"/>
    <w:rsid w:val="3D3F2FAF"/>
    <w:rsid w:val="3D530F54"/>
    <w:rsid w:val="3E5E6941"/>
    <w:rsid w:val="3F9F3A96"/>
    <w:rsid w:val="41085755"/>
    <w:rsid w:val="48BF60AB"/>
    <w:rsid w:val="493C27E9"/>
    <w:rsid w:val="496F39ED"/>
    <w:rsid w:val="49FF41D3"/>
    <w:rsid w:val="4BE068DB"/>
    <w:rsid w:val="4BF6002B"/>
    <w:rsid w:val="4ECE2238"/>
    <w:rsid w:val="51DB4B86"/>
    <w:rsid w:val="55333C3E"/>
    <w:rsid w:val="5EAF3185"/>
    <w:rsid w:val="5EC8BDE3"/>
    <w:rsid w:val="5EF3E7EF"/>
    <w:rsid w:val="6279B635"/>
    <w:rsid w:val="63F60BB9"/>
    <w:rsid w:val="64CA39A1"/>
    <w:rsid w:val="67BE8D2A"/>
    <w:rsid w:val="69630ADE"/>
    <w:rsid w:val="6C4A05C8"/>
    <w:rsid w:val="6D3B1A89"/>
    <w:rsid w:val="6D676E17"/>
    <w:rsid w:val="6F32A84C"/>
    <w:rsid w:val="6FFC32A7"/>
    <w:rsid w:val="71BF4EC2"/>
    <w:rsid w:val="72734D90"/>
    <w:rsid w:val="72FD2DBB"/>
    <w:rsid w:val="7412278C"/>
    <w:rsid w:val="773ED7C3"/>
    <w:rsid w:val="77CDDF6D"/>
    <w:rsid w:val="77D9781D"/>
    <w:rsid w:val="7904082E"/>
    <w:rsid w:val="79E7B28D"/>
    <w:rsid w:val="7BDAE319"/>
    <w:rsid w:val="7BED648A"/>
    <w:rsid w:val="7DC557C4"/>
    <w:rsid w:val="7DDD8EC2"/>
    <w:rsid w:val="7DEF946F"/>
    <w:rsid w:val="7EDB8B1C"/>
    <w:rsid w:val="7EFFF42E"/>
    <w:rsid w:val="7F5D4C44"/>
    <w:rsid w:val="7F9F20EE"/>
    <w:rsid w:val="7FFE347D"/>
    <w:rsid w:val="9E3A10E2"/>
    <w:rsid w:val="B7BBE695"/>
    <w:rsid w:val="B7BF7312"/>
    <w:rsid w:val="BAD6692F"/>
    <w:rsid w:val="CDFEE08D"/>
    <w:rsid w:val="CF38DD9A"/>
    <w:rsid w:val="D5F7AA1B"/>
    <w:rsid w:val="D73778F8"/>
    <w:rsid w:val="D7BD3395"/>
    <w:rsid w:val="D91E9F32"/>
    <w:rsid w:val="D9DB6DAE"/>
    <w:rsid w:val="DAF8AA15"/>
    <w:rsid w:val="DEE8A5CF"/>
    <w:rsid w:val="E5FF6EE8"/>
    <w:rsid w:val="ED76846F"/>
    <w:rsid w:val="EEFBE06C"/>
    <w:rsid w:val="F2E1F9D4"/>
    <w:rsid w:val="F4EA3E4B"/>
    <w:rsid w:val="F5775F4B"/>
    <w:rsid w:val="F6FFE5EF"/>
    <w:rsid w:val="F7880819"/>
    <w:rsid w:val="FB39AC7D"/>
    <w:rsid w:val="FBFE0668"/>
    <w:rsid w:val="FD770C94"/>
    <w:rsid w:val="FEFFCAE7"/>
    <w:rsid w:val="FEFFCE4B"/>
    <w:rsid w:val="FF3D65B1"/>
    <w:rsid w:val="FFEBD781"/>
    <w:rsid w:val="FFF33ACE"/>
    <w:rsid w:val="FFF6E0AC"/>
    <w:rsid w:val="FFFFF4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6"/>
    <w:qFormat/>
    <w:uiPriority w:val="0"/>
    <w:pPr>
      <w:spacing w:before="100" w:beforeAutospacing="1"/>
      <w:ind w:left="0"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10"/>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9"/>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font61"/>
    <w:basedOn w:val="16"/>
    <w:qFormat/>
    <w:uiPriority w:val="0"/>
    <w:rPr>
      <w:rFonts w:hint="eastAsia" w:ascii="宋体" w:hAnsi="宋体" w:eastAsia="宋体" w:cs="宋体"/>
      <w:color w:val="000000"/>
      <w:sz w:val="18"/>
      <w:szCs w:val="18"/>
      <w:u w:val="none"/>
    </w:rPr>
  </w:style>
  <w:style w:type="character" w:customStyle="1" w:styleId="34">
    <w:name w:val="font131"/>
    <w:basedOn w:val="16"/>
    <w:qFormat/>
    <w:uiPriority w:val="0"/>
    <w:rPr>
      <w:rFonts w:hint="default" w:ascii="黑体" w:hAnsi="黑体" w:eastAsia="黑体" w:cs="黑体"/>
      <w:color w:val="000000"/>
      <w:sz w:val="18"/>
      <w:szCs w:val="18"/>
      <w:u w:val="none"/>
    </w:rPr>
  </w:style>
  <w:style w:type="character" w:customStyle="1" w:styleId="35">
    <w:name w:val="font210"/>
    <w:basedOn w:val="16"/>
    <w:qFormat/>
    <w:uiPriority w:val="0"/>
    <w:rPr>
      <w:rFonts w:hint="eastAsia" w:ascii="宋体" w:hAnsi="宋体" w:eastAsia="宋体" w:cs="宋体"/>
      <w:color w:val="000000"/>
      <w:sz w:val="18"/>
      <w:szCs w:val="18"/>
      <w:u w:val="non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character" w:customStyle="1" w:styleId="38">
    <w:name w:val="font16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收、支决算总计变动情况表</a:t>
            </a:r>
            <a:endParaRPr altLang="en-US"/>
          </a:p>
        </c:rich>
      </c:tx>
      <c:layout>
        <c:manualLayout>
          <c:xMode val="edge"/>
          <c:yMode val="edge"/>
          <c:x val="0.241218853197238"/>
          <c:y val="0.0251783466219052"/>
        </c:manualLayout>
      </c:layout>
      <c:overlay val="false"/>
      <c:spPr>
        <a:noFill/>
        <a:ln>
          <a:noFill/>
        </a:ln>
        <a:effectLst/>
      </c:spPr>
    </c:title>
    <c:autoTitleDeleted val="false"/>
    <c:plotArea>
      <c:layout>
        <c:manualLayout>
          <c:layoutTarget val="inner"/>
          <c:xMode val="edge"/>
          <c:yMode val="edge"/>
          <c:x val="0.0387"/>
          <c:y val="0.171833333333333"/>
          <c:w val="0.92505"/>
          <c:h val="0.717233333333333"/>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Sheet1!$A$1:$A$2</c:f>
              <c:strCache>
                <c:ptCount val="2"/>
                <c:pt idx="0">
                  <c:v>2021年</c:v>
                </c:pt>
                <c:pt idx="1">
                  <c:v>2022年</c:v>
                </c:pt>
              </c:strCache>
            </c:strRef>
          </c:cat>
          <c:val>
            <c:numRef>
              <c:f>Sheet1!$B$1:$B$2</c:f>
              <c:numCache>
                <c:formatCode>General</c:formatCode>
                <c:ptCount val="2"/>
                <c:pt idx="0">
                  <c:v>58901.39</c:v>
                </c:pt>
                <c:pt idx="1">
                  <c:v>61490.14</c:v>
                </c:pt>
              </c:numCache>
            </c:numRef>
          </c:val>
        </c:ser>
        <c:dLbls>
          <c:showLegendKey val="false"/>
          <c:showVal val="true"/>
          <c:showCatName val="false"/>
          <c:showSerName val="false"/>
          <c:showPercent val="false"/>
          <c:showBubbleSize val="false"/>
        </c:dLbls>
        <c:gapWidth val="219"/>
        <c:overlap val="-27"/>
        <c:axId val="756704921"/>
        <c:axId val="608085172"/>
      </c:barChart>
      <c:catAx>
        <c:axId val="75670492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08085172"/>
        <c:crosses val="autoZero"/>
        <c:auto val="true"/>
        <c:lblAlgn val="ctr"/>
        <c:lblOffset val="100"/>
        <c:noMultiLvlLbl val="false"/>
      </c:catAx>
      <c:valAx>
        <c:axId val="60808517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5670492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6</a:t>
                    </a:r>
                    <a:r>
                      <a:rPr lang="en-US" altLang="zh-CN"/>
                      <a:t>5.85</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政府性基金预算财政拨款收入34</a:t>
                    </a:r>
                    <a:r>
                      <a:rPr lang="en-US" altLang="zh-CN"/>
                      <a:t>.13</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其他收入0</a:t>
                    </a:r>
                    <a:r>
                      <a:rPr lang="en-US" altLang="zh-CN"/>
                      <a:t>.02</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0.00%</c:formatCode>
                <c:ptCount val="3"/>
                <c:pt idx="0">
                  <c:v>0.6585</c:v>
                </c:pt>
                <c:pt idx="1">
                  <c:v>0.3413</c:v>
                </c:pt>
                <c:pt idx="2">
                  <c:v>0.0002</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基本支出4</a:t>
                    </a:r>
                    <a:r>
                      <a:rPr lang="en-US" altLang="zh-CN"/>
                      <a:t>.17</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项目支出9</a:t>
                    </a:r>
                    <a:r>
                      <a:rPr lang="en-US" altLang="zh-CN"/>
                      <a:t>5.83</a:t>
                    </a:r>
                    <a:r>
                      <a:t>%</a:t>
                    </a:r>
                  </a:p>
                </c:rich>
              </c:tx>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0.0417</c:v>
                </c:pt>
                <c:pt idx="1">
                  <c:v>0.9583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财政拨款收、支决算总计变动情况表</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Sheet1!$A$1:$A$2</c:f>
              <c:strCache>
                <c:ptCount val="2"/>
                <c:pt idx="0">
                  <c:v>2021年</c:v>
                </c:pt>
                <c:pt idx="1">
                  <c:v>2022年</c:v>
                </c:pt>
              </c:strCache>
            </c:strRef>
          </c:cat>
          <c:val>
            <c:numRef>
              <c:f>Sheet1!$B$1:$B$2</c:f>
              <c:numCache>
                <c:formatCode>General</c:formatCode>
                <c:ptCount val="2"/>
                <c:pt idx="0">
                  <c:v>58388.82</c:v>
                </c:pt>
                <c:pt idx="1">
                  <c:v>61107.65</c:v>
                </c:pt>
              </c:numCache>
            </c:numRef>
          </c:val>
        </c:ser>
        <c:dLbls>
          <c:showLegendKey val="false"/>
          <c:showVal val="true"/>
          <c:showCatName val="false"/>
          <c:showSerName val="false"/>
          <c:showPercent val="false"/>
          <c:showBubbleSize val="false"/>
        </c:dLbls>
        <c:gapWidth val="219"/>
        <c:overlap val="-27"/>
        <c:axId val="663325799"/>
        <c:axId val="313899436"/>
      </c:barChart>
      <c:catAx>
        <c:axId val="66332579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3899436"/>
        <c:crosses val="autoZero"/>
        <c:auto val="true"/>
        <c:lblAlgn val="ctr"/>
        <c:lblOffset val="100"/>
        <c:noMultiLvlLbl val="false"/>
      </c:catAx>
      <c:valAx>
        <c:axId val="31389943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6332579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Sheet1!$A$1:$A$2</c:f>
              <c:strCache>
                <c:ptCount val="2"/>
                <c:pt idx="0">
                  <c:v>2021年</c:v>
                </c:pt>
                <c:pt idx="1">
                  <c:v>2022年</c:v>
                </c:pt>
              </c:strCache>
            </c:strRef>
          </c:cat>
          <c:val>
            <c:numRef>
              <c:f>Sheet1!$B$1:$B$2</c:f>
              <c:numCache>
                <c:formatCode>General</c:formatCode>
                <c:ptCount val="2"/>
                <c:pt idx="0">
                  <c:v>14548.15</c:v>
                </c:pt>
                <c:pt idx="1">
                  <c:v>17222.08</c:v>
                </c:pt>
              </c:numCache>
            </c:numRef>
          </c:val>
        </c:ser>
        <c:dLbls>
          <c:showLegendKey val="false"/>
          <c:showVal val="true"/>
          <c:showCatName val="false"/>
          <c:showSerName val="false"/>
          <c:showPercent val="false"/>
          <c:showBubbleSize val="false"/>
        </c:dLbls>
        <c:gapWidth val="219"/>
        <c:overlap val="-27"/>
        <c:axId val="12832646"/>
        <c:axId val="706453400"/>
      </c:barChart>
      <c:catAx>
        <c:axId val="1283264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06453400"/>
        <c:crosses val="autoZero"/>
        <c:auto val="true"/>
        <c:lblAlgn val="ctr"/>
        <c:lblOffset val="100"/>
        <c:noMultiLvlLbl val="false"/>
      </c:catAx>
      <c:valAx>
        <c:axId val="70645340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283264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4044961375468"/>
          <c:y val="0.00709891150023663"/>
        </c:manualLayout>
      </c:layout>
      <c:overlay val="false"/>
      <c:spPr>
        <a:noFill/>
        <a:ln>
          <a:noFill/>
        </a:ln>
        <a:effectLst/>
      </c:spPr>
      <c:tx>
        <c:rich>
          <a:bodyPr/>
          <a:lstStyle/>
          <a:p>
            <a:pPr>
              <a:defRPr/>
            </a:pPr>
          </a:p>
        </c:rich>
      </c:tx>
    </c:title>
    <c:autoTitleDeleted val="false"/>
    <c:plotArea>
      <c:layout>
        <c:manualLayout>
          <c:layoutTarget val="inner"/>
          <c:xMode val="edge"/>
          <c:yMode val="edge"/>
          <c:x val="0.259286128845038"/>
          <c:y val="0.157595835305253"/>
          <c:w val="0.58179012345679"/>
          <c:h val="0.885207409339943"/>
        </c:manualLayout>
      </c:layout>
      <c:pieChart>
        <c:varyColors val="true"/>
        <c:ser>
          <c:idx val="0"/>
          <c:order val="0"/>
          <c:explosion val="0"/>
          <c:dPt>
            <c:idx val="0"/>
            <c:bubble3D val="false"/>
            <c:spPr>
              <a:solidFill>
                <a:schemeClr val="accent1"/>
              </a:solidFill>
              <a:ln>
                <a:noFill/>
              </a:ln>
              <a:effectLst>
                <a:outerShdw blurRad="63500" sx="102000" sy="102000" algn="ctr" rotWithShape="0">
                  <a:prstClr val="black">
                    <a:alpha val="20000"/>
                  </a:prstClr>
                </a:outerShdw>
              </a:effectLst>
            </c:spPr>
          </c:dPt>
          <c:dPt>
            <c:idx val="1"/>
            <c:bubble3D val="false"/>
            <c:spPr>
              <a:solidFill>
                <a:schemeClr val="accent3"/>
              </a:solidFill>
              <a:ln>
                <a:noFill/>
              </a:ln>
              <a:effectLst>
                <a:outerShdw blurRad="63500" sx="102000" sy="102000" algn="ctr" rotWithShape="0">
                  <a:prstClr val="black">
                    <a:alpha val="20000"/>
                  </a:prstClr>
                </a:outerShdw>
              </a:effectLst>
            </c:spPr>
          </c:dPt>
          <c:dPt>
            <c:idx val="2"/>
            <c:bubble3D val="false"/>
            <c:spPr>
              <a:solidFill>
                <a:schemeClr val="accent5"/>
              </a:solidFill>
              <a:ln>
                <a:noFill/>
              </a:ln>
              <a:effectLst>
                <a:outerShdw blurRad="63500" sx="102000" sy="102000" algn="ctr" rotWithShape="0">
                  <a:prstClr val="black">
                    <a:alpha val="20000"/>
                  </a:prstClr>
                </a:outerShdw>
              </a:effectLst>
            </c:spPr>
          </c:dPt>
          <c:dPt>
            <c:idx val="3"/>
            <c:bubble3D val="false"/>
            <c:spPr>
              <a:solidFill>
                <a:schemeClr val="accent1">
                  <a:lumMod val="60000"/>
                </a:schemeClr>
              </a:solidFill>
              <a:ln>
                <a:noFill/>
              </a:ln>
              <a:effectLst>
                <a:outerShdw blurRad="63500" sx="102000" sy="102000" algn="ctr" rotWithShape="0">
                  <a:prstClr val="black">
                    <a:alpha val="20000"/>
                  </a:prstClr>
                </a:outerShdw>
              </a:effectLst>
            </c:spPr>
          </c:dPt>
          <c:dPt>
            <c:idx val="4"/>
            <c:bubble3D val="false"/>
            <c:explosion val="0"/>
            <c:spPr>
              <a:solidFill>
                <a:schemeClr val="accent3">
                  <a:lumMod val="60000"/>
                </a:schemeClr>
              </a:solidFill>
              <a:ln>
                <a:noFill/>
              </a:ln>
              <a:effectLst>
                <a:outerShdw blurRad="63500" sx="102000" sy="102000" algn="ctr" rotWithShape="0">
                  <a:prstClr val="black">
                    <a:alpha val="20000"/>
                  </a:prstClr>
                </a:outerShdw>
              </a:effectLst>
            </c:spPr>
          </c:dPt>
          <c:dPt>
            <c:idx val="5"/>
            <c:bubble3D val="false"/>
            <c:spPr>
              <a:solidFill>
                <a:schemeClr val="accent5">
                  <a:lumMod val="60000"/>
                </a:schemeClr>
              </a:solidFill>
              <a:ln>
                <a:noFill/>
              </a:ln>
              <a:effectLst>
                <a:outerShdw blurRad="63500" sx="102000" sy="102000" algn="ctr" rotWithShape="0">
                  <a:prstClr val="black">
                    <a:alpha val="20000"/>
                  </a:prstClr>
                </a:outerShdw>
              </a:effectLst>
            </c:spPr>
          </c:dPt>
          <c:dPt>
            <c:idx val="6"/>
            <c:bubble3D val="false"/>
            <c:spPr>
              <a:solidFill>
                <a:schemeClr val="accent1">
                  <a:lumMod val="80000"/>
                  <a:lumOff val="20000"/>
                </a:schemeClr>
              </a:solidFill>
              <a:ln>
                <a:noFill/>
              </a:ln>
              <a:effectLst>
                <a:outerShdw blurRad="63500" sx="102000" sy="102000" algn="ctr" rotWithShape="0">
                  <a:prstClr val="black">
                    <a:alpha val="20000"/>
                  </a:prstClr>
                </a:outerShdw>
              </a:effectLst>
            </c:spPr>
          </c:dPt>
          <c:dPt>
            <c:idx val="7"/>
            <c:bubble3D val="false"/>
            <c:spPr>
              <a:solidFill>
                <a:schemeClr val="accent3">
                  <a:lumMod val="80000"/>
                  <a:lumOff val="20000"/>
                </a:schemeClr>
              </a:solidFill>
              <a:ln>
                <a:noFill/>
              </a:ln>
              <a:effectLst>
                <a:outerShdw blurRad="63500" sx="102000" sy="102000" algn="ctr" rotWithShape="0">
                  <a:prstClr val="black">
                    <a:alpha val="20000"/>
                  </a:prstClr>
                </a:outerShdw>
              </a:effectLst>
            </c:spPr>
          </c:dPt>
          <c:dPt>
            <c:idx val="8"/>
            <c:bubble3D val="false"/>
            <c:spPr>
              <a:solidFill>
                <a:schemeClr val="accent5">
                  <a:lumMod val="80000"/>
                  <a:lumOff val="20000"/>
                </a:schemeClr>
              </a:solidFill>
              <a:ln>
                <a:noFill/>
              </a:ln>
              <a:effectLst>
                <a:outerShdw blurRad="63500" sx="102000" sy="102000" algn="ctr" rotWithShape="0">
                  <a:prstClr val="black">
                    <a:alpha val="20000"/>
                  </a:prstClr>
                </a:outerShdw>
              </a:effectLst>
            </c:spPr>
          </c:dPt>
          <c:dLbls>
            <c:dLbl>
              <c:idx val="0"/>
              <c:layout>
                <c:manualLayout>
                  <c:x val="0.207410967907797"/>
                  <c:y val="0.152758346156969"/>
                </c:manualLayout>
              </c:layout>
              <c:tx>
                <c:rich>
                  <a:bodyPr rot="0" spcFirstLastPara="0" vertOverflow="ellipsis" vert="horz" wrap="square" lIns="38100" tIns="19050" rIns="38100" bIns="19050" anchor="ctr" anchorCtr="true"/>
                  <a:lstStyle/>
                  <a:p>
                    <a:pPr defTabSz="914400">
                      <a:defRPr lang="zh-CN" sz="800" b="1" i="0" u="none" strike="noStrike" kern="1200" spc="0" baseline="0">
                        <a:solidFill>
                          <a:schemeClr val="tx1"/>
                        </a:solidFill>
                        <a:latin typeface="+mn-lt"/>
                        <a:ea typeface="+mn-ea"/>
                        <a:cs typeface="+mn-cs"/>
                      </a:defRPr>
                    </a:pPr>
                    <a:r>
                      <a:rPr sz="800">
                        <a:solidFill>
                          <a:schemeClr val="tx1"/>
                        </a:solidFill>
                      </a:rPr>
                      <a:t>一般公共服务支出0</a:t>
                    </a:r>
                    <a:r>
                      <a:rPr lang="en-US" altLang="zh-CN" sz="800">
                        <a:solidFill>
                          <a:schemeClr val="tx1"/>
                        </a:solidFill>
                      </a:rPr>
                      <a:t>.06</a:t>
                    </a:r>
                    <a:r>
                      <a:rPr sz="800">
                        <a:solidFill>
                          <a:schemeClr val="tx1"/>
                        </a:solidFill>
                      </a:rPr>
                      <a:t>%</a:t>
                    </a:r>
                    <a:endParaRPr sz="800">
                      <a:solidFill>
                        <a:schemeClr val="tx1"/>
                      </a:solidFill>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800" b="1" i="0" u="none" strike="noStrike" kern="1200" spc="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180934416715032"/>
                      <c:h val="0.0698059630856602"/>
                    </c:manualLayout>
                  </c15:layout>
                </c:ext>
              </c:extLst>
            </c:dLbl>
            <c:dLbl>
              <c:idx val="1"/>
              <c:layout>
                <c:manualLayout>
                  <c:x val="0.234287383798047"/>
                  <c:y val="-0.0108376809227523"/>
                </c:manualLayout>
              </c:layout>
              <c:tx>
                <c:rich>
                  <a:bodyPr rot="0" spcFirstLastPara="0" vertOverflow="ellipsis" vert="horz" wrap="square" lIns="38100" tIns="19050" rIns="38100" bIns="19050" anchor="ctr" anchorCtr="true"/>
                  <a:lstStyle/>
                  <a:p>
                    <a:pPr defTabSz="914400">
                      <a:defRPr lang="zh-CN" sz="800" b="1" i="0" u="none" strike="noStrike" kern="1200" spc="0" baseline="0">
                        <a:solidFill>
                          <a:schemeClr val="tx1"/>
                        </a:solidFill>
                        <a:latin typeface="+mn-lt"/>
                        <a:ea typeface="+mn-ea"/>
                        <a:cs typeface="+mn-cs"/>
                      </a:defRPr>
                    </a:pPr>
                    <a:r>
                      <a:rPr sz="800">
                        <a:solidFill>
                          <a:schemeClr val="tx1"/>
                        </a:solidFill>
                      </a:rPr>
                      <a:t>教育支出0</a:t>
                    </a:r>
                    <a:r>
                      <a:rPr lang="en-US" altLang="zh-CN" sz="800">
                        <a:solidFill>
                          <a:schemeClr val="tx1"/>
                        </a:solidFill>
                      </a:rPr>
                      <a:t>.08</a:t>
                    </a:r>
                    <a:r>
                      <a:rPr sz="800">
                        <a:solidFill>
                          <a:schemeClr val="tx1"/>
                        </a:solidFill>
                      </a:rPr>
                      <a:t>%</a:t>
                    </a:r>
                    <a:endParaRPr sz="800">
                      <a:solidFill>
                        <a:schemeClr val="tx1"/>
                      </a:solidFill>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800" b="1" i="0" u="none" strike="noStrike" kern="1200" spc="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089684867093906"/>
                  <c:y val="0.109295302415975"/>
                </c:manualLayout>
              </c:layout>
              <c:tx>
                <c:rich>
                  <a:bodyPr rot="0" spcFirstLastPara="0" vertOverflow="ellipsis" vert="horz" wrap="square" lIns="38100" tIns="19050" rIns="38100" bIns="19050" anchor="ctr" anchorCtr="true"/>
                  <a:lstStyle/>
                  <a:p>
                    <a:pPr defTabSz="914400">
                      <a:defRPr lang="zh-CN" sz="800" b="1" i="0" u="none" strike="noStrike" kern="1200" spc="0" baseline="0">
                        <a:solidFill>
                          <a:schemeClr val="tx1"/>
                        </a:solidFill>
                        <a:latin typeface="+mn-lt"/>
                        <a:ea typeface="+mn-ea"/>
                        <a:cs typeface="+mn-cs"/>
                      </a:defRPr>
                    </a:pPr>
                    <a:r>
                      <a:rPr sz="800">
                        <a:solidFill>
                          <a:schemeClr val="tx1"/>
                        </a:solidFill>
                      </a:rPr>
                      <a:t>社会保障和就业支出</a:t>
                    </a:r>
                    <a:endParaRPr sz="800">
                      <a:solidFill>
                        <a:schemeClr val="tx1"/>
                      </a:solidFill>
                    </a:endParaRPr>
                  </a:p>
                  <a:p>
                    <a:pPr defTabSz="914400">
                      <a:defRPr lang="zh-CN" sz="800" b="1" i="0" u="none" strike="noStrike" kern="1200" spc="0" baseline="0">
                        <a:solidFill>
                          <a:schemeClr val="tx1"/>
                        </a:solidFill>
                        <a:latin typeface="+mn-lt"/>
                        <a:ea typeface="+mn-ea"/>
                        <a:cs typeface="+mn-cs"/>
                      </a:defRPr>
                    </a:pPr>
                    <a:r>
                      <a:rPr lang="en-US" altLang="zh-CN" sz="800">
                        <a:solidFill>
                          <a:schemeClr val="tx1"/>
                        </a:solidFill>
                      </a:rPr>
                      <a:t>0.85</a:t>
                    </a:r>
                    <a:r>
                      <a:rPr sz="800">
                        <a:solidFill>
                          <a:schemeClr val="tx1"/>
                        </a:solidFill>
                      </a:rPr>
                      <a:t>%</a:t>
                    </a:r>
                    <a:endParaRPr sz="800">
                      <a:solidFill>
                        <a:schemeClr val="tx1"/>
                      </a:solidFill>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800" b="1" i="0" u="none" strike="noStrike" kern="1200" spc="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180934416715032"/>
                      <c:h val="0.145752895752896"/>
                    </c:manualLayout>
                  </c15:layout>
                </c:ext>
              </c:extLst>
            </c:dLbl>
            <c:dLbl>
              <c:idx val="3"/>
              <c:layout>
                <c:manualLayout>
                  <c:x val="0.028933173013761"/>
                  <c:y val="0.100411103245293"/>
                </c:manualLayout>
              </c:layout>
              <c:tx>
                <c:rich>
                  <a:bodyPr rot="0" spcFirstLastPara="0" vertOverflow="ellipsis" vert="horz" wrap="square" lIns="38100" tIns="19050" rIns="38100" bIns="19050" anchor="ctr" anchorCtr="true"/>
                  <a:lstStyle/>
                  <a:p>
                    <a:pPr defTabSz="914400">
                      <a:defRPr lang="zh-CN" sz="800" b="1" i="0" u="none" strike="noStrike" kern="1200" spc="0" baseline="0">
                        <a:solidFill>
                          <a:schemeClr val="tx1"/>
                        </a:solidFill>
                        <a:latin typeface="+mn-lt"/>
                        <a:ea typeface="+mn-ea"/>
                        <a:cs typeface="+mn-cs"/>
                      </a:defRPr>
                    </a:pPr>
                    <a:r>
                      <a:rPr sz="800">
                        <a:solidFill>
                          <a:schemeClr val="tx1"/>
                        </a:solidFill>
                      </a:rPr>
                      <a:t>卫生健康支出0</a:t>
                    </a:r>
                    <a:r>
                      <a:rPr lang="en-US" altLang="zh-CN" sz="800">
                        <a:solidFill>
                          <a:schemeClr val="tx1"/>
                        </a:solidFill>
                      </a:rPr>
                      <a:t>.3</a:t>
                    </a:r>
                    <a:r>
                      <a:rPr sz="800">
                        <a:solidFill>
                          <a:schemeClr val="tx1"/>
                        </a:solidFill>
                      </a:rPr>
                      <a:t>%</a:t>
                    </a:r>
                    <a:endParaRPr sz="800">
                      <a:solidFill>
                        <a:schemeClr val="tx1"/>
                      </a:solidFill>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800" b="1" i="0" u="none" strike="noStrike" kern="1200" spc="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4"/>
              <c:layout>
                <c:manualLayout>
                  <c:x val="-0.173634860842282"/>
                  <c:y val="-0.248894258146477"/>
                </c:manualLayout>
              </c:layout>
              <c:tx>
                <c:rich>
                  <a:bodyPr rot="0" spcFirstLastPara="0" vertOverflow="ellipsis" vert="horz" wrap="square" lIns="38100" tIns="19050" rIns="38100" bIns="19050" anchor="ctr" anchorCtr="true"/>
                  <a:lstStyle/>
                  <a:p>
                    <a:pPr defTabSz="914400">
                      <a:defRPr lang="zh-CN" sz="800" b="1" i="0" u="none" strike="noStrike" kern="1200" spc="0" baseline="0">
                        <a:solidFill>
                          <a:schemeClr val="tx1"/>
                        </a:solidFill>
                        <a:latin typeface="+mn-lt"/>
                        <a:ea typeface="+mn-ea"/>
                        <a:cs typeface="+mn-cs"/>
                      </a:defRPr>
                    </a:pPr>
                    <a:r>
                      <a:rPr sz="800">
                        <a:solidFill>
                          <a:schemeClr val="tx1"/>
                        </a:solidFill>
                      </a:rPr>
                      <a:t>节能环保支出6</a:t>
                    </a:r>
                    <a:r>
                      <a:rPr lang="en-US" altLang="zh-CN" sz="800">
                        <a:solidFill>
                          <a:schemeClr val="tx1"/>
                        </a:solidFill>
                      </a:rPr>
                      <a:t>3.87</a:t>
                    </a:r>
                    <a:r>
                      <a:rPr sz="800">
                        <a:solidFill>
                          <a:schemeClr val="tx1"/>
                        </a:solidFill>
                      </a:rPr>
                      <a:t>%</a:t>
                    </a:r>
                    <a:endParaRPr sz="800">
                      <a:solidFill>
                        <a:schemeClr val="tx1"/>
                      </a:solidFill>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800" b="1" i="0" u="none" strike="noStrike" kern="1200" spc="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5"/>
              <c:layout/>
              <c:tx>
                <c:rich>
                  <a:bodyPr rot="0" spcFirstLastPara="0" vertOverflow="ellipsis" vert="horz" wrap="square" lIns="38100" tIns="19050" rIns="38100" bIns="19050" anchor="ctr" anchorCtr="true"/>
                  <a:lstStyle/>
                  <a:p>
                    <a:pPr defTabSz="914400">
                      <a:defRPr lang="zh-CN" sz="800" b="1" i="0" u="none" strike="noStrike" kern="1200" spc="0" baseline="0">
                        <a:solidFill>
                          <a:schemeClr val="tx1"/>
                        </a:solidFill>
                        <a:latin typeface="+mn-lt"/>
                        <a:ea typeface="+mn-ea"/>
                        <a:cs typeface="+mn-cs"/>
                      </a:defRPr>
                    </a:pPr>
                    <a:r>
                      <a:rPr sz="800">
                        <a:solidFill>
                          <a:schemeClr val="tx1"/>
                        </a:solidFill>
                      </a:rPr>
                      <a:t>城乡社区支出</a:t>
                    </a:r>
                    <a:endParaRPr sz="800">
                      <a:solidFill>
                        <a:schemeClr val="tx1"/>
                      </a:solidFill>
                    </a:endParaRPr>
                  </a:p>
                  <a:p>
                    <a:pPr defTabSz="914400">
                      <a:defRPr lang="zh-CN" sz="800" b="1" i="0" u="none" strike="noStrike" kern="1200" spc="0" baseline="0">
                        <a:solidFill>
                          <a:schemeClr val="tx1"/>
                        </a:solidFill>
                        <a:latin typeface="+mn-lt"/>
                        <a:ea typeface="+mn-ea"/>
                        <a:cs typeface="+mn-cs"/>
                      </a:defRPr>
                    </a:pPr>
                    <a:r>
                      <a:rPr lang="en-US" altLang="zh-CN" sz="800">
                        <a:solidFill>
                          <a:schemeClr val="tx1"/>
                        </a:solidFill>
                      </a:rPr>
                      <a:t>12.07</a:t>
                    </a:r>
                    <a:r>
                      <a:rPr sz="800">
                        <a:solidFill>
                          <a:schemeClr val="tx1"/>
                        </a:solidFill>
                      </a:rPr>
                      <a:t>%</a:t>
                    </a:r>
                    <a:endParaRPr sz="800">
                      <a:solidFill>
                        <a:schemeClr val="tx1"/>
                      </a:solidFill>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800" b="1" i="0" u="none" strike="noStrike" kern="1200" spc="0" baseline="0">
                      <a:solidFill>
                        <a:schemeClr val="tx1"/>
                      </a:solidFill>
                      <a:latin typeface="+mn-lt"/>
                      <a:ea typeface="+mn-ea"/>
                      <a:cs typeface="+mn-cs"/>
                    </a:defRPr>
                  </a:pPr>
                </a:p>
              </c:txPr>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6"/>
              <c:layout>
                <c:manualLayout>
                  <c:x val="0.125615274467856"/>
                  <c:y val="0.226615927541995"/>
                </c:manualLayout>
              </c:layout>
              <c:tx>
                <c:rich>
                  <a:bodyPr rot="0" spcFirstLastPara="0" vertOverflow="ellipsis" vert="horz" wrap="square" lIns="38100" tIns="19050" rIns="38100" bIns="19050" anchor="ctr" anchorCtr="true"/>
                  <a:lstStyle/>
                  <a:p>
                    <a:pPr defTabSz="914400">
                      <a:defRPr lang="zh-CN" sz="800" b="1" i="0" u="none" strike="noStrike" kern="1200" spc="0" baseline="0">
                        <a:solidFill>
                          <a:schemeClr val="tx1"/>
                        </a:solidFill>
                        <a:latin typeface="+mn-lt"/>
                        <a:ea typeface="+mn-ea"/>
                        <a:cs typeface="+mn-cs"/>
                      </a:defRPr>
                    </a:pPr>
                    <a:r>
                      <a:rPr sz="800">
                        <a:solidFill>
                          <a:schemeClr val="tx1"/>
                        </a:solidFill>
                      </a:rPr>
                      <a:t>住房保障支出</a:t>
                    </a:r>
                    <a:endParaRPr sz="800">
                      <a:solidFill>
                        <a:schemeClr val="tx1"/>
                      </a:solidFill>
                    </a:endParaRPr>
                  </a:p>
                  <a:p>
                    <a:pPr defTabSz="914400">
                      <a:defRPr lang="zh-CN" sz="800" b="1" i="0" u="none" strike="noStrike" kern="1200" spc="0" baseline="0">
                        <a:solidFill>
                          <a:schemeClr val="tx1"/>
                        </a:solidFill>
                        <a:latin typeface="+mn-lt"/>
                        <a:ea typeface="+mn-ea"/>
                        <a:cs typeface="+mn-cs"/>
                      </a:defRPr>
                    </a:pPr>
                    <a:r>
                      <a:rPr lang="en-US" altLang="zh-CN" sz="800">
                        <a:solidFill>
                          <a:schemeClr val="tx1"/>
                        </a:solidFill>
                      </a:rPr>
                      <a:t>22.45%</a:t>
                    </a:r>
                    <a:endParaRPr lang="en-US" altLang="zh-CN" sz="800">
                      <a:solidFill>
                        <a:schemeClr val="tx1"/>
                      </a:solidFill>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800" b="1" i="0" u="none" strike="noStrike" kern="1200" spc="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192901234567901"/>
                      <c:h val="0.0887033655100443"/>
                    </c:manualLayout>
                  </c15:layout>
                </c:ext>
              </c:extLst>
            </c:dLbl>
            <c:dLbl>
              <c:idx val="7"/>
              <c:layout>
                <c:manualLayout>
                  <c:x val="-0.186120477492586"/>
                  <c:y val="0.0758462295202641"/>
                </c:manualLayout>
              </c:layout>
              <c:tx>
                <c:rich>
                  <a:bodyPr rot="0" spcFirstLastPara="0" vertOverflow="ellipsis" vert="horz" wrap="square" lIns="38100" tIns="19050" rIns="38100" bIns="19050" anchor="ctr" anchorCtr="true"/>
                  <a:lstStyle/>
                  <a:p>
                    <a:pPr defTabSz="914400">
                      <a:defRPr lang="zh-CN" sz="800" b="1" i="0" u="none" strike="noStrike" kern="1200" spc="0" baseline="0">
                        <a:solidFill>
                          <a:schemeClr val="tx1"/>
                        </a:solidFill>
                        <a:latin typeface="+mn-lt"/>
                        <a:ea typeface="+mn-ea"/>
                        <a:cs typeface="+mn-cs"/>
                      </a:defRPr>
                    </a:pPr>
                    <a:r>
                      <a:rPr sz="800">
                        <a:solidFill>
                          <a:schemeClr val="tx1"/>
                        </a:solidFill>
                      </a:rPr>
                      <a:t>灾害防治及应急管理支出</a:t>
                    </a:r>
                    <a:endParaRPr sz="800">
                      <a:solidFill>
                        <a:schemeClr val="tx1"/>
                      </a:solidFill>
                    </a:endParaRPr>
                  </a:p>
                  <a:p>
                    <a:pPr defTabSz="914400">
                      <a:defRPr lang="zh-CN" sz="800" b="1" i="0" u="none" strike="noStrike" kern="1200" spc="0" baseline="0">
                        <a:solidFill>
                          <a:schemeClr val="tx1"/>
                        </a:solidFill>
                        <a:latin typeface="+mn-lt"/>
                        <a:ea typeface="+mn-ea"/>
                        <a:cs typeface="+mn-cs"/>
                      </a:defRPr>
                    </a:pPr>
                    <a:r>
                      <a:rPr lang="en-US" altLang="zh-CN" sz="800">
                        <a:solidFill>
                          <a:schemeClr val="tx1"/>
                        </a:solidFill>
                      </a:rPr>
                      <a:t>0.15</a:t>
                    </a:r>
                    <a:r>
                      <a:rPr sz="800">
                        <a:solidFill>
                          <a:schemeClr val="tx1"/>
                        </a:solidFill>
                      </a:rPr>
                      <a:t>%</a:t>
                    </a:r>
                    <a:endParaRPr sz="800">
                      <a:solidFill>
                        <a:schemeClr val="tx1"/>
                      </a:solidFill>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800" b="1" i="0" u="none" strike="noStrike" kern="1200" spc="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180934416715032"/>
                      <c:h val="0.0789092664092664"/>
                    </c:manualLayout>
                  </c15:layout>
                </c:ext>
              </c:extLst>
            </c:dLbl>
            <c:dLbl>
              <c:idx val="8"/>
              <c:layout>
                <c:manualLayout>
                  <c:x val="0.150852443596031"/>
                  <c:y val="0.0876109783392783"/>
                </c:manualLayout>
              </c:layout>
              <c:tx>
                <c:rich>
                  <a:bodyPr rot="0" spcFirstLastPara="0" vertOverflow="ellipsis" vert="horz" wrap="square" lIns="38100" tIns="19050" rIns="38100" bIns="19050" anchor="ctr" anchorCtr="true"/>
                  <a:lstStyle/>
                  <a:p>
                    <a:pPr defTabSz="914400">
                      <a:defRPr lang="zh-CN" sz="800" b="1" i="0" u="none" strike="noStrike" kern="1200" spc="0" baseline="0">
                        <a:solidFill>
                          <a:schemeClr val="tx1"/>
                        </a:solidFill>
                        <a:latin typeface="+mn-lt"/>
                        <a:ea typeface="+mn-ea"/>
                        <a:cs typeface="+mn-cs"/>
                      </a:defRPr>
                    </a:pPr>
                    <a:r>
                      <a:rPr sz="800">
                        <a:solidFill>
                          <a:schemeClr val="tx1"/>
                        </a:solidFill>
                      </a:rPr>
                      <a:t>其他支出0</a:t>
                    </a:r>
                    <a:r>
                      <a:rPr lang="en-US" altLang="zh-CN" sz="800">
                        <a:solidFill>
                          <a:schemeClr val="tx1"/>
                        </a:solidFill>
                      </a:rPr>
                      <a:t>.17</a:t>
                    </a:r>
                    <a:r>
                      <a:rPr sz="800">
                        <a:solidFill>
                          <a:schemeClr val="tx1"/>
                        </a:solidFill>
                      </a:rPr>
                      <a:t>%</a:t>
                    </a:r>
                    <a:endParaRPr sz="800">
                      <a:solidFill>
                        <a:schemeClr val="tx1"/>
                      </a:solidFill>
                    </a:endParaRP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800" b="1" i="0" u="none" strike="noStrike" kern="1200" spc="0" baseline="0">
                      <a:solidFill>
                        <a:schemeClr val="tx1"/>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800" b="1" i="0" u="none" strike="noStrike" kern="1200" spc="0" baseline="0">
                    <a:solidFill>
                      <a:schemeClr val="tx1"/>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Sheet1!$A$3:$A$11</c:f>
              <c:strCache>
                <c:ptCount val="9"/>
                <c:pt idx="0">
                  <c:v>一般公共服务支出</c:v>
                </c:pt>
                <c:pt idx="1">
                  <c:v>教育支出</c:v>
                </c:pt>
                <c:pt idx="2">
                  <c:v>社会保障和就业支出</c:v>
                </c:pt>
                <c:pt idx="3">
                  <c:v>卫生健康支出</c:v>
                </c:pt>
                <c:pt idx="4">
                  <c:v>节能环保支出</c:v>
                </c:pt>
                <c:pt idx="5">
                  <c:v>城乡社区支出</c:v>
                </c:pt>
                <c:pt idx="6">
                  <c:v>住房保障支出</c:v>
                </c:pt>
                <c:pt idx="7">
                  <c:v>灾害防治及应急管理支出</c:v>
                </c:pt>
                <c:pt idx="8">
                  <c:v>其他支出</c:v>
                </c:pt>
              </c:strCache>
            </c:strRef>
          </c:cat>
          <c:val>
            <c:numRef>
              <c:f>Sheet1!$B$3:$B$11</c:f>
              <c:numCache>
                <c:formatCode>0.00%</c:formatCode>
                <c:ptCount val="9"/>
                <c:pt idx="0">
                  <c:v>0.0006</c:v>
                </c:pt>
                <c:pt idx="1">
                  <c:v>0.0008</c:v>
                </c:pt>
                <c:pt idx="2">
                  <c:v>0.0085</c:v>
                </c:pt>
                <c:pt idx="3">
                  <c:v>0.003</c:v>
                </c:pt>
                <c:pt idx="4">
                  <c:v>0.6387</c:v>
                </c:pt>
                <c:pt idx="5">
                  <c:v>0.1207</c:v>
                </c:pt>
                <c:pt idx="6">
                  <c:v>0.2245</c:v>
                </c:pt>
                <c:pt idx="7">
                  <c:v>0.0015</c:v>
                </c:pt>
                <c:pt idx="8">
                  <c:v>0.0017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0%</c:formatCode>
                <c:ptCount val="2"/>
                <c:pt idx="0">
                  <c:v>0.61</c:v>
                </c:pt>
                <c:pt idx="1">
                  <c:v>0.39</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13</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user</cp:lastModifiedBy>
  <cp:lastPrinted>2023-08-04T10:35:00Z</cp:lastPrinted>
  <dcterms:modified xsi:type="dcterms:W3CDTF">2023-10-16T09:22:25Z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6B70361D626A4593B4A9C4A901EC4F63</vt:lpwstr>
  </property>
</Properties>
</file>