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000000" w:fill="auto"/>
        <w:spacing w:line="600" w:lineRule="exact"/>
        <w:jc w:val="left"/>
        <w:outlineLvl w:val="9"/>
        <w:rPr>
          <w:rFonts w:ascii="方正小标宋简体" w:hAnsi="宋体" w:eastAsia="方正小标宋简体"/>
          <w:color w:val="auto"/>
          <w:sz w:val="21"/>
          <w:szCs w:val="21"/>
          <w:highlight w:val="none"/>
        </w:rPr>
      </w:pPr>
      <w:bookmarkStart w:id="0" w:name="_Toc15306267"/>
    </w:p>
    <w:p>
      <w:pPr>
        <w:shd w:val="clear" w:color="000000" w:fill="auto"/>
        <w:spacing w:line="600" w:lineRule="exact"/>
        <w:jc w:val="center"/>
        <w:outlineLvl w:val="9"/>
        <w:rPr>
          <w:rFonts w:ascii="方正小标宋简体" w:hAnsi="宋体" w:eastAsia="方正小标宋简体"/>
          <w:color w:val="auto"/>
          <w:sz w:val="72"/>
          <w:szCs w:val="72"/>
          <w:highlight w:val="none"/>
        </w:rPr>
      </w:pPr>
    </w:p>
    <w:p>
      <w:pPr>
        <w:shd w:val="clear" w:color="000000" w:fill="auto"/>
        <w:spacing w:line="600" w:lineRule="exact"/>
        <w:jc w:val="center"/>
        <w:outlineLvl w:val="9"/>
        <w:rPr>
          <w:rFonts w:ascii="方正小标宋简体" w:hAnsi="宋体" w:eastAsia="方正小标宋简体"/>
          <w:color w:val="auto"/>
          <w:sz w:val="72"/>
          <w:szCs w:val="72"/>
          <w:highlight w:val="none"/>
        </w:rPr>
      </w:pPr>
    </w:p>
    <w:p>
      <w:pPr>
        <w:shd w:val="clear" w:color="000000" w:fill="auto"/>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3661"/>
      <w:bookmarkStart w:id="2" w:name="_Toc15378441"/>
      <w:bookmarkStart w:id="3" w:name="_Toc15396475"/>
      <w:bookmarkStart w:id="4" w:name="_Toc15377425"/>
      <w:bookmarkStart w:id="5" w:name="_Toc15377193"/>
      <w:bookmarkStart w:id="6"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shd w:val="clear" w:color="000000" w:fill="auto"/>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426"/>
      <w:bookmarkStart w:id="8" w:name="_Toc15396476"/>
      <w:bookmarkStart w:id="9" w:name="_Toc15396598"/>
      <w:bookmarkStart w:id="10" w:name="_Toc15377194"/>
      <w:bookmarkStart w:id="11" w:name="_Toc14320"/>
      <w:bookmarkStart w:id="12" w:name="_Toc15378442"/>
      <w:r>
        <w:rPr>
          <w:rFonts w:hint="eastAsia" w:ascii="方正小标宋简体" w:hAnsi="方正小标宋简体" w:eastAsia="方正小标宋简体" w:cs="方正小标宋简体"/>
          <w:color w:val="auto"/>
          <w:sz w:val="72"/>
          <w:szCs w:val="72"/>
          <w:highlight w:val="none"/>
          <w:lang w:eastAsia="zh-CN"/>
        </w:rPr>
        <w:t>广元市</w:t>
      </w:r>
      <w:bookmarkStart w:id="13" w:name="_Toc15306268"/>
      <w:bookmarkEnd w:id="0"/>
      <w:r>
        <w:rPr>
          <w:rFonts w:hint="eastAsia" w:ascii="方正小标宋简体" w:hAnsi="方正小标宋简体" w:eastAsia="方正小标宋简体" w:cs="方正小标宋简体"/>
          <w:color w:val="auto"/>
          <w:sz w:val="72"/>
          <w:szCs w:val="72"/>
          <w:highlight w:val="none"/>
          <w:lang w:eastAsia="zh-CN"/>
        </w:rPr>
        <w:t>城市建设事务中心单位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widowControl/>
        <w:shd w:val="clear" w:color="010000" w:fill="auto"/>
        <w:jc w:val="center"/>
        <w:rPr>
          <w:rFonts w:hint="eastAsia" w:ascii="黑体" w:hAnsi="黑体" w:eastAsia="黑体" w:cs="黑体"/>
          <w:color w:val="auto"/>
          <w:sz w:val="28"/>
          <w:szCs w:val="28"/>
          <w:highlight w:val="none"/>
          <w:lang w:eastAsia="zh-CN"/>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22"/>
        <w:shd w:val="clear" w:color="010000" w:fill="auto"/>
        <w:tabs>
          <w:tab w:val="right" w:leader="dot" w:pos="8306"/>
        </w:tabs>
        <w:jc w:val="center"/>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 xml:space="preserve">10 </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pPr>
        <w:pStyle w:val="22"/>
        <w:shd w:val="clear" w:color="010000" w:fill="auto"/>
        <w:tabs>
          <w:tab w:val="right" w:leader="dot" w:pos="8306"/>
        </w:tabs>
        <w:ind w:left="0" w:leftChars="0" w:firstLine="0" w:firstLineChars="0"/>
        <w:jc w:val="both"/>
        <w:rPr>
          <w:rFonts w:hint="eastAsia"/>
          <w:color w:val="auto"/>
          <w:highlight w:val="none"/>
        </w:rPr>
      </w:pPr>
    </w:p>
    <w:p>
      <w:pPr>
        <w:shd w:val="clear" w:color="000000" w:fill="auto"/>
        <w:spacing w:before="0" w:beforeLines="0" w:after="0" w:afterLines="0" w:line="240" w:lineRule="auto"/>
        <w:ind w:left="0" w:leftChars="0" w:right="0" w:firstLine="0" w:firstLineChars="0"/>
        <w:jc w:val="center"/>
        <w:rPr>
          <w:b/>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p>
    <w:p>
      <w:pPr>
        <w:pStyle w:val="21"/>
        <w:shd w:val="clear" w:color="010000" w:fill="auto"/>
        <w:tabs>
          <w:tab w:val="right" w:leader="dot" w:pos="8306"/>
        </w:tabs>
        <w:rPr>
          <w:b/>
          <w:color w:val="auto"/>
          <w:highlight w:val="none"/>
        </w:rPr>
      </w:pPr>
      <w:r>
        <w:rPr>
          <w:rFonts w:hint="eastAsia"/>
          <w:b/>
          <w:color w:val="auto"/>
          <w:highlight w:val="none"/>
        </w:rPr>
        <w:fldChar w:fldCharType="begin"/>
      </w:r>
      <w:r>
        <w:rPr>
          <w:rFonts w:hint="eastAsia"/>
          <w:b/>
          <w:color w:val="auto"/>
          <w:highlight w:val="none"/>
        </w:rPr>
        <w:instrText xml:space="preserve"> HYPERLINK \l _Toc28574 </w:instrText>
      </w:r>
      <w:r>
        <w:rPr>
          <w:rFonts w:hint="eastAsia"/>
          <w:b/>
          <w:color w:val="auto"/>
          <w:highlight w:val="none"/>
        </w:rPr>
        <w:fldChar w:fldCharType="separate"/>
      </w:r>
      <w:r>
        <w:rPr>
          <w:rFonts w:hint="eastAsia" w:ascii="黑体" w:hAnsi="黑体" w:eastAsia="黑体"/>
          <w:b/>
          <w:color w:val="auto"/>
          <w:highlight w:val="none"/>
        </w:rPr>
        <w:t xml:space="preserve">第一部分 </w:t>
      </w:r>
      <w:r>
        <w:rPr>
          <w:rFonts w:hint="eastAsia" w:ascii="黑体" w:hAnsi="黑体" w:eastAsia="黑体"/>
          <w:b/>
          <w:color w:val="auto"/>
          <w:highlight w:val="none"/>
          <w:lang w:eastAsia="zh-CN"/>
        </w:rPr>
        <w:t>单位</w:t>
      </w:r>
      <w:r>
        <w:rPr>
          <w:rFonts w:hint="eastAsia" w:ascii="黑体" w:hAnsi="黑体" w:eastAsia="黑体"/>
          <w:b/>
          <w:bCs w:val="0"/>
          <w:color w:val="auto"/>
          <w:highlight w:val="none"/>
        </w:rPr>
        <w:t>概况</w:t>
      </w:r>
      <w:r>
        <w:rPr>
          <w:b/>
          <w:color w:val="auto"/>
          <w:highlight w:val="none"/>
        </w:rPr>
        <w:tab/>
      </w:r>
      <w:r>
        <w:rPr>
          <w:b/>
          <w:color w:val="auto"/>
          <w:highlight w:val="none"/>
        </w:rPr>
        <w:fldChar w:fldCharType="begin"/>
      </w:r>
      <w:r>
        <w:rPr>
          <w:b/>
          <w:color w:val="auto"/>
          <w:highlight w:val="none"/>
        </w:rPr>
        <w:instrText xml:space="preserve"> PAGEREF _Toc28574 \h </w:instrText>
      </w:r>
      <w:r>
        <w:rPr>
          <w:b/>
          <w:color w:val="auto"/>
          <w:highlight w:val="none"/>
        </w:rPr>
        <w:fldChar w:fldCharType="separate"/>
      </w:r>
      <w:r>
        <w:rPr>
          <w:b/>
          <w:color w:val="auto"/>
          <w:highlight w:val="none"/>
        </w:rPr>
        <w:t>1</w:t>
      </w:r>
      <w:r>
        <w:rPr>
          <w:b/>
          <w:color w:val="auto"/>
          <w:highlight w:val="none"/>
        </w:rPr>
        <w:fldChar w:fldCharType="end"/>
      </w:r>
      <w:r>
        <w:rPr>
          <w:rFonts w:hint="eastAsia"/>
          <w:b/>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_Toc20801 </w:instrText>
      </w:r>
      <w:r>
        <w:rPr>
          <w:rFonts w:hint="eastAsia"/>
          <w:color w:val="auto"/>
          <w:highlight w:val="none"/>
        </w:rPr>
        <w:fldChar w:fldCharType="separate"/>
      </w:r>
      <w:r>
        <w:rPr>
          <w:rFonts w:hint="eastAsia" w:ascii="黑体" w:hAnsi="黑体" w:eastAsia="黑体"/>
          <w:bCs w:val="0"/>
          <w:color w:val="auto"/>
          <w:highlight w:val="none"/>
          <w:lang w:eastAsia="zh-CN"/>
        </w:rPr>
        <w:t>一、 主要职责</w:t>
      </w:r>
      <w:r>
        <w:rPr>
          <w:color w:val="auto"/>
          <w:highlight w:val="none"/>
        </w:rPr>
        <w:tab/>
      </w:r>
      <w:r>
        <w:rPr>
          <w:color w:val="auto"/>
          <w:highlight w:val="none"/>
        </w:rPr>
        <w:fldChar w:fldCharType="begin"/>
      </w:r>
      <w:r>
        <w:rPr>
          <w:color w:val="auto"/>
          <w:highlight w:val="none"/>
        </w:rPr>
        <w:instrText xml:space="preserve"> PAGEREF _Toc20801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_Toc24326 </w:instrText>
      </w:r>
      <w:r>
        <w:rPr>
          <w:rFonts w:hint="eastAsia"/>
          <w:color w:val="auto"/>
          <w:highlight w:val="none"/>
        </w:rPr>
        <w:fldChar w:fldCharType="separate"/>
      </w:r>
      <w:r>
        <w:rPr>
          <w:rFonts w:hint="eastAsia" w:ascii="黑体" w:hAnsi="黑体" w:eastAsia="黑体"/>
          <w:color w:val="auto"/>
          <w:highlight w:val="none"/>
          <w:lang w:val="en-US" w:eastAsia="zh-CN"/>
        </w:rPr>
        <w:t>二、机构设置</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21"/>
        <w:shd w:val="clear" w:color="010000" w:fill="auto"/>
        <w:tabs>
          <w:tab w:val="right" w:leader="dot" w:pos="8306"/>
        </w:tabs>
        <w:rPr>
          <w:b/>
          <w:color w:val="auto"/>
          <w:highlight w:val="none"/>
        </w:rPr>
      </w:pPr>
      <w:r>
        <w:rPr>
          <w:rFonts w:hint="eastAsia"/>
          <w:b/>
          <w:color w:val="auto"/>
          <w:highlight w:val="none"/>
        </w:rPr>
        <w:fldChar w:fldCharType="begin"/>
      </w:r>
      <w:r>
        <w:rPr>
          <w:rFonts w:hint="eastAsia"/>
          <w:b/>
          <w:color w:val="auto"/>
          <w:highlight w:val="none"/>
        </w:rPr>
        <w:instrText xml:space="preserve"> HYPERLINK \l _Toc30622 </w:instrText>
      </w:r>
      <w:r>
        <w:rPr>
          <w:rFonts w:hint="eastAsia"/>
          <w:b/>
          <w:color w:val="auto"/>
          <w:highlight w:val="none"/>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lang w:eastAsia="zh-CN"/>
        </w:rPr>
        <w:t>单位</w:t>
      </w:r>
      <w:r>
        <w:rPr>
          <w:rFonts w:hint="eastAsia" w:ascii="黑体" w:hAnsi="黑体" w:eastAsia="黑体"/>
          <w:b/>
          <w:bCs/>
          <w:color w:val="auto"/>
          <w:highlight w:val="none"/>
        </w:rPr>
        <w:t>决算情况说明</w:t>
      </w:r>
      <w:r>
        <w:rPr>
          <w:b/>
          <w:color w:val="auto"/>
          <w:highlight w:val="none"/>
        </w:rPr>
        <w:tab/>
      </w:r>
      <w:r>
        <w:rPr>
          <w:b/>
          <w:color w:val="auto"/>
          <w:highlight w:val="none"/>
        </w:rPr>
        <w:fldChar w:fldCharType="begin"/>
      </w:r>
      <w:r>
        <w:rPr>
          <w:b/>
          <w:color w:val="auto"/>
          <w:highlight w:val="none"/>
        </w:rPr>
        <w:instrText xml:space="preserve"> PAGEREF _Toc30622 \h </w:instrText>
      </w:r>
      <w:r>
        <w:rPr>
          <w:b/>
          <w:color w:val="auto"/>
          <w:highlight w:val="none"/>
        </w:rPr>
        <w:fldChar w:fldCharType="separate"/>
      </w:r>
      <w:r>
        <w:rPr>
          <w:b/>
          <w:color w:val="auto"/>
          <w:highlight w:val="none"/>
        </w:rPr>
        <w:t>3</w:t>
      </w:r>
      <w:r>
        <w:rPr>
          <w:b/>
          <w:color w:val="auto"/>
          <w:highlight w:val="none"/>
        </w:rPr>
        <w:fldChar w:fldCharType="end"/>
      </w:r>
      <w:r>
        <w:rPr>
          <w:rFonts w:hint="eastAsia"/>
          <w:b/>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_Toc6737 </w:instrText>
      </w:r>
      <w:r>
        <w:rPr>
          <w:rFonts w:hint="eastAsia"/>
          <w:color w:val="auto"/>
          <w:highlight w:val="none"/>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_Toc6737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_Toc5686 </w:instrText>
      </w:r>
      <w:r>
        <w:rPr>
          <w:rFonts w:hint="eastAsia"/>
          <w:color w:val="auto"/>
          <w:highlight w:val="none"/>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_Toc5686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_Toc31723 </w:instrText>
      </w:r>
      <w:r>
        <w:rPr>
          <w:rFonts w:hint="eastAsia"/>
          <w:color w:val="auto"/>
          <w:highlight w:val="none"/>
        </w:rPr>
        <w:fldChar w:fldCharType="separate"/>
      </w:r>
      <w:r>
        <w:rPr>
          <w:rFonts w:hint="default" w:ascii="黑体" w:hAnsi="黑体" w:eastAsia="黑体"/>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_Toc31723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_Toc27414 </w:instrText>
      </w:r>
      <w:r>
        <w:rPr>
          <w:rFonts w:hint="eastAsia"/>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_Toc27414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_Toc571 </w:instrText>
      </w:r>
      <w:r>
        <w:rPr>
          <w:rFonts w:hint="eastAsia"/>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_Toc571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_Toc2200 </w:instrText>
      </w:r>
      <w:r>
        <w:rPr>
          <w:rFonts w:hint="eastAsia"/>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_Toc2200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_Toc19332 </w:instrText>
      </w:r>
      <w:r>
        <w:rPr>
          <w:rFonts w:hint="eastAsia"/>
          <w:color w:val="auto"/>
          <w:highlight w:val="none"/>
        </w:rPr>
        <w:fldChar w:fldCharType="separate"/>
      </w:r>
      <w:r>
        <w:rPr>
          <w:rFonts w:hint="eastAsia" w:ascii="黑体" w:eastAsia="黑体"/>
          <w:bCs w:val="0"/>
          <w:color w:val="auto"/>
          <w:szCs w:val="32"/>
          <w:highlight w:val="none"/>
        </w:rPr>
        <w:t>七、</w:t>
      </w:r>
      <w:r>
        <w:rPr>
          <w:rFonts w:hint="eastAsia" w:ascii="黑体" w:hAnsi="黑体" w:eastAsia="黑体"/>
          <w:bCs w:val="0"/>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_Toc19332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_Toc5369 </w:instrText>
      </w:r>
      <w:r>
        <w:rPr>
          <w:rFonts w:hint="eastAsia"/>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_Toc5369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_Toc19100 </w:instrText>
      </w:r>
      <w:r>
        <w:rPr>
          <w:rFonts w:hint="eastAsia"/>
          <w:color w:val="auto"/>
          <w:highlight w:val="none"/>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_Toc19100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_Toc22945 </w:instrText>
      </w:r>
      <w:r>
        <w:rPr>
          <w:rFonts w:hint="eastAsia"/>
          <w:color w:val="auto"/>
          <w:highlight w:val="none"/>
        </w:rPr>
        <w:fldChar w:fldCharType="separate"/>
      </w:r>
      <w:r>
        <w:rPr>
          <w:rFonts w:hint="eastAsia" w:ascii="黑体" w:hAnsi="黑体" w:eastAsia="黑体"/>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_Toc22945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pPr>
        <w:pStyle w:val="21"/>
        <w:shd w:val="clear" w:color="010000" w:fill="auto"/>
        <w:tabs>
          <w:tab w:val="right" w:leader="dot" w:pos="8306"/>
        </w:tabs>
        <w:rPr>
          <w:b/>
          <w:color w:val="auto"/>
          <w:highlight w:val="none"/>
        </w:rPr>
      </w:pPr>
      <w:r>
        <w:rPr>
          <w:rFonts w:hint="eastAsia"/>
          <w:b/>
          <w:color w:val="auto"/>
          <w:highlight w:val="none"/>
        </w:rPr>
        <w:fldChar w:fldCharType="begin"/>
      </w:r>
      <w:r>
        <w:rPr>
          <w:rFonts w:hint="eastAsia"/>
          <w:b/>
          <w:color w:val="auto"/>
          <w:highlight w:val="none"/>
        </w:rPr>
        <w:instrText xml:space="preserve"> HYPERLINK \l _Toc10999 </w:instrText>
      </w:r>
      <w:r>
        <w:rPr>
          <w:rFonts w:hint="eastAsia"/>
          <w:b/>
          <w:color w:val="auto"/>
          <w:highlight w:val="none"/>
        </w:rPr>
        <w:fldChar w:fldCharType="separate"/>
      </w:r>
      <w:r>
        <w:rPr>
          <w:rFonts w:hint="eastAsia" w:ascii="黑体" w:hAnsi="黑体" w:eastAsia="黑体" w:cs="黑体"/>
          <w:b/>
          <w:color w:val="auto"/>
          <w:szCs w:val="44"/>
          <w:highlight w:val="none"/>
        </w:rPr>
        <w:t xml:space="preserve">第三部分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_Toc10999 \h </w:instrText>
      </w:r>
      <w:r>
        <w:rPr>
          <w:b/>
          <w:color w:val="auto"/>
          <w:highlight w:val="none"/>
        </w:rPr>
        <w:fldChar w:fldCharType="separate"/>
      </w:r>
      <w:r>
        <w:rPr>
          <w:b/>
          <w:color w:val="auto"/>
          <w:highlight w:val="none"/>
        </w:rPr>
        <w:t>11</w:t>
      </w:r>
      <w:r>
        <w:rPr>
          <w:b/>
          <w:color w:val="auto"/>
          <w:highlight w:val="none"/>
        </w:rPr>
        <w:fldChar w:fldCharType="end"/>
      </w:r>
      <w:r>
        <w:rPr>
          <w:rFonts w:hint="eastAsia"/>
          <w:b/>
          <w:color w:val="auto"/>
          <w:highlight w:val="none"/>
        </w:rPr>
        <w:fldChar w:fldCharType="end"/>
      </w:r>
    </w:p>
    <w:p>
      <w:pPr>
        <w:pStyle w:val="21"/>
        <w:shd w:val="clear" w:color="010000" w:fill="auto"/>
        <w:tabs>
          <w:tab w:val="right" w:leader="dot" w:pos="8306"/>
        </w:tabs>
        <w:rPr>
          <w:b/>
          <w:color w:val="auto"/>
          <w:highlight w:val="none"/>
        </w:rPr>
      </w:pPr>
      <w:r>
        <w:rPr>
          <w:rFonts w:hint="eastAsia"/>
          <w:b/>
          <w:color w:val="auto"/>
          <w:highlight w:val="none"/>
        </w:rPr>
        <w:fldChar w:fldCharType="begin"/>
      </w:r>
      <w:r>
        <w:rPr>
          <w:rFonts w:hint="eastAsia"/>
          <w:b/>
          <w:color w:val="auto"/>
          <w:highlight w:val="none"/>
        </w:rPr>
        <w:instrText xml:space="preserve"> HYPERLINK \l _Toc20787 </w:instrText>
      </w:r>
      <w:r>
        <w:rPr>
          <w:rFonts w:hint="eastAsia"/>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 附件</w:t>
      </w:r>
      <w:r>
        <w:rPr>
          <w:b/>
          <w:color w:val="auto"/>
          <w:highlight w:val="none"/>
        </w:rPr>
        <w:tab/>
      </w:r>
      <w:r>
        <w:rPr>
          <w:b/>
          <w:color w:val="auto"/>
          <w:highlight w:val="none"/>
        </w:rPr>
        <w:fldChar w:fldCharType="begin"/>
      </w:r>
      <w:r>
        <w:rPr>
          <w:b/>
          <w:color w:val="auto"/>
          <w:highlight w:val="none"/>
        </w:rPr>
        <w:instrText xml:space="preserve"> PAGEREF _Toc20787 \h </w:instrText>
      </w:r>
      <w:r>
        <w:rPr>
          <w:b/>
          <w:color w:val="auto"/>
          <w:highlight w:val="none"/>
        </w:rPr>
        <w:fldChar w:fldCharType="separate"/>
      </w:r>
      <w:r>
        <w:rPr>
          <w:b/>
          <w:color w:val="auto"/>
          <w:highlight w:val="none"/>
        </w:rPr>
        <w:t>13</w:t>
      </w:r>
      <w:r>
        <w:rPr>
          <w:b/>
          <w:color w:val="auto"/>
          <w:highlight w:val="none"/>
        </w:rPr>
        <w:fldChar w:fldCharType="end"/>
      </w:r>
      <w:r>
        <w:rPr>
          <w:rFonts w:hint="eastAsia"/>
          <w:b/>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_Toc3961 </w:instrText>
      </w:r>
      <w:r>
        <w:rPr>
          <w:rFonts w:hint="eastAsia"/>
          <w:color w:val="auto"/>
          <w:highlight w:val="none"/>
        </w:rPr>
        <w:fldChar w:fldCharType="separate"/>
      </w:r>
      <w:r>
        <w:rPr>
          <w:rFonts w:hint="eastAsia" w:ascii="宋体" w:hAnsi="宋体" w:eastAsia="宋体" w:cs="宋体"/>
          <w:color w:val="auto"/>
          <w:kern w:val="0"/>
          <w:szCs w:val="32"/>
          <w:highlight w:val="none"/>
          <w:lang w:val="en-US" w:eastAsia="zh-CN" w:bidi="ar-SA"/>
        </w:rPr>
        <w:t>部门预算项目支出绩效自评表（2022年度）</w:t>
      </w:r>
      <w:r>
        <w:rPr>
          <w:color w:val="auto"/>
          <w:highlight w:val="none"/>
        </w:rPr>
        <w:tab/>
      </w:r>
      <w:r>
        <w:rPr>
          <w:color w:val="auto"/>
          <w:highlight w:val="none"/>
        </w:rPr>
        <w:fldChar w:fldCharType="begin"/>
      </w:r>
      <w:r>
        <w:rPr>
          <w:color w:val="auto"/>
          <w:highlight w:val="none"/>
        </w:rPr>
        <w:instrText xml:space="preserve"> PAGEREF _Toc3961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21"/>
        <w:shd w:val="clear" w:color="010000" w:fill="auto"/>
        <w:tabs>
          <w:tab w:val="right" w:leader="dot" w:pos="8306"/>
        </w:tabs>
        <w:rPr>
          <w:b/>
          <w:color w:val="auto"/>
          <w:highlight w:val="none"/>
        </w:rPr>
      </w:pPr>
      <w:r>
        <w:rPr>
          <w:rFonts w:hint="eastAsia"/>
          <w:b/>
          <w:color w:val="auto"/>
          <w:highlight w:val="none"/>
        </w:rPr>
        <w:fldChar w:fldCharType="begin"/>
      </w:r>
      <w:r>
        <w:rPr>
          <w:rFonts w:hint="eastAsia"/>
          <w:b/>
          <w:color w:val="auto"/>
          <w:highlight w:val="none"/>
        </w:rPr>
        <w:instrText xml:space="preserve"> HYPERLINK \l _Toc678 </w:instrText>
      </w:r>
      <w:r>
        <w:rPr>
          <w:rFonts w:hint="eastAsia"/>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_Toc678 \h </w:instrText>
      </w:r>
      <w:r>
        <w:rPr>
          <w:b/>
          <w:color w:val="auto"/>
          <w:highlight w:val="none"/>
        </w:rPr>
        <w:fldChar w:fldCharType="separate"/>
      </w:r>
      <w:r>
        <w:rPr>
          <w:b/>
          <w:color w:val="auto"/>
          <w:highlight w:val="none"/>
        </w:rPr>
        <w:t>24</w:t>
      </w:r>
      <w:r>
        <w:rPr>
          <w:b/>
          <w:color w:val="auto"/>
          <w:highlight w:val="none"/>
        </w:rPr>
        <w:fldChar w:fldCharType="end"/>
      </w:r>
      <w:r>
        <w:rPr>
          <w:rFonts w:hint="eastAsia"/>
          <w:b/>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_Toc7253 </w:instrText>
      </w:r>
      <w:r>
        <w:rPr>
          <w:rFonts w:hint="eastAsia"/>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_Toc7253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_Toc15889 </w:instrText>
      </w:r>
      <w:r>
        <w:rPr>
          <w:rFonts w:hint="eastAsia"/>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_Toc15889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_Toc29488 </w:instrText>
      </w:r>
      <w:r>
        <w:rPr>
          <w:rFonts w:hint="eastAsia"/>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_Toc29488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_Toc4299 </w:instrText>
      </w:r>
      <w:r>
        <w:rPr>
          <w:rFonts w:hint="eastAsia"/>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_Toc4299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_Toc7487 </w:instrText>
      </w:r>
      <w:r>
        <w:rPr>
          <w:rFonts w:hint="eastAsia"/>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_Toc7487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_Toc13192 </w:instrText>
      </w:r>
      <w:r>
        <w:rPr>
          <w:rFonts w:hint="eastAsia"/>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_Toc13192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_Toc15217 </w:instrText>
      </w:r>
      <w:r>
        <w:rPr>
          <w:rFonts w:hint="eastAsia"/>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_Toc15217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_Toc2649 </w:instrText>
      </w:r>
      <w:r>
        <w:rPr>
          <w:rFonts w:hint="eastAsia"/>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_Toc2649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_Toc21741 </w:instrText>
      </w:r>
      <w:r>
        <w:rPr>
          <w:rFonts w:hint="eastAsia"/>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_Toc21741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_Toc19899 </w:instrText>
      </w:r>
      <w:r>
        <w:rPr>
          <w:rFonts w:hint="eastAsia"/>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_Toc19899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_Toc7781 </w:instrText>
      </w:r>
      <w:r>
        <w:rPr>
          <w:rFonts w:hint="eastAsia"/>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_Toc7781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_Toc27931 </w:instrText>
      </w:r>
      <w:r>
        <w:rPr>
          <w:rFonts w:hint="eastAsia"/>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_Toc27931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rPr>
          <w:color w:val="auto"/>
          <w:highlight w:val="none"/>
        </w:rPr>
      </w:pPr>
      <w:r>
        <w:rPr>
          <w:rFonts w:hint="eastAsia"/>
          <w:color w:val="auto"/>
          <w:highlight w:val="none"/>
        </w:rPr>
        <w:fldChar w:fldCharType="begin"/>
      </w:r>
      <w:r>
        <w:rPr>
          <w:rFonts w:hint="eastAsia"/>
          <w:color w:val="auto"/>
          <w:highlight w:val="none"/>
        </w:rPr>
        <w:instrText xml:space="preserve"> HYPERLINK \l _Toc10506 </w:instrText>
      </w:r>
      <w:r>
        <w:rPr>
          <w:rFonts w:hint="eastAsia"/>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w:t>
      </w:r>
      <w:bookmarkStart w:id="144" w:name="_GoBack"/>
      <w:r>
        <w:rPr>
          <w:rFonts w:hint="eastAsia" w:ascii="仿宋" w:hAnsi="仿宋" w:eastAsia="仿宋"/>
          <w:bCs w:val="0"/>
          <w:color w:val="auto"/>
          <w:highlight w:val="none"/>
          <w:lang w:eastAsia="zh-CN"/>
        </w:rPr>
        <w:t>三公</w:t>
      </w:r>
      <w:bookmarkEnd w:id="144"/>
      <w:r>
        <w:rPr>
          <w:rFonts w:hint="eastAsia" w:ascii="仿宋" w:hAnsi="仿宋" w:eastAsia="仿宋"/>
          <w:bCs w:val="0"/>
          <w:color w:val="auto"/>
          <w:highlight w:val="none"/>
          <w:lang w:eastAsia="zh-CN"/>
        </w:rPr>
        <w:t>”经费支出决算表</w:t>
      </w:r>
      <w:r>
        <w:rPr>
          <w:color w:val="auto"/>
          <w:highlight w:val="none"/>
        </w:rPr>
        <w:tab/>
      </w:r>
      <w:r>
        <w:rPr>
          <w:color w:val="auto"/>
          <w:highlight w:val="none"/>
        </w:rPr>
        <w:fldChar w:fldCharType="begin"/>
      </w:r>
      <w:r>
        <w:rPr>
          <w:color w:val="auto"/>
          <w:highlight w:val="none"/>
        </w:rPr>
        <w:instrText xml:space="preserve"> PAGEREF _Toc10506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22"/>
        <w:shd w:val="clear" w:color="010000" w:fill="auto"/>
        <w:tabs>
          <w:tab w:val="right" w:leader="dot" w:pos="8306"/>
        </w:tabs>
        <w:ind w:left="0" w:leftChars="0" w:firstLine="0" w:firstLineChars="0"/>
        <w:jc w:val="both"/>
        <w:rPr>
          <w:rFonts w:hint="eastAsia"/>
          <w:color w:val="auto"/>
          <w:highlight w:val="none"/>
        </w:rPr>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pPr>
      <w:r>
        <w:rPr>
          <w:rFonts w:hint="eastAsia"/>
          <w:b/>
          <w:color w:val="auto"/>
          <w:highlight w:val="none"/>
        </w:rPr>
        <w:fldChar w:fldCharType="end"/>
      </w:r>
    </w:p>
    <w:p>
      <w:pPr>
        <w:pStyle w:val="3"/>
        <w:shd w:val="clear" w:color="010000" w:fill="auto"/>
        <w:jc w:val="center"/>
        <w:rPr>
          <w:rFonts w:ascii="黑体" w:eastAsia="黑体"/>
          <w:color w:val="auto"/>
          <w:sz w:val="32"/>
          <w:szCs w:val="32"/>
          <w:highlight w:val="none"/>
        </w:rPr>
      </w:pPr>
      <w:bookmarkStart w:id="14" w:name="_Toc1965419920_WPSOffice_Level1"/>
      <w:bookmarkStart w:id="15" w:name="_Toc28574"/>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p>
    <w:p>
      <w:pPr>
        <w:pStyle w:val="4"/>
        <w:numPr>
          <w:ilvl w:val="0"/>
          <w:numId w:val="1"/>
        </w:numPr>
        <w:shd w:val="clear" w:color="020000" w:fill="auto"/>
        <w:rPr>
          <w:rStyle w:val="25"/>
          <w:rFonts w:hint="eastAsia" w:ascii="黑体" w:hAnsi="黑体" w:eastAsia="黑体"/>
          <w:b w:val="0"/>
          <w:bCs w:val="0"/>
          <w:color w:val="auto"/>
          <w:highlight w:val="none"/>
          <w:lang w:eastAsia="zh-CN"/>
        </w:rPr>
      </w:pPr>
      <w:bookmarkStart w:id="16" w:name="_Toc155592787_WPSOffice_Level2"/>
      <w:bookmarkStart w:id="17" w:name="_Toc20801"/>
      <w:bookmarkStart w:id="18" w:name="_Toc15377197"/>
      <w:bookmarkStart w:id="19" w:name="_Toc15396600"/>
      <w:r>
        <w:rPr>
          <w:rStyle w:val="25"/>
          <w:rFonts w:hint="eastAsia" w:ascii="黑体" w:hAnsi="黑体" w:eastAsia="黑体"/>
          <w:b w:val="0"/>
          <w:bCs w:val="0"/>
          <w:color w:val="auto"/>
          <w:highlight w:val="none"/>
          <w:lang w:eastAsia="zh-CN"/>
        </w:rPr>
        <w:t>主要职责</w:t>
      </w:r>
      <w:bookmarkEnd w:id="16"/>
      <w:bookmarkEnd w:id="17"/>
    </w:p>
    <w:p>
      <w:pPr>
        <w:pStyle w:val="12"/>
        <w:widowControl/>
        <w:shd w:val="clear" w:color="auto" w:fill="auto"/>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shd w:val="clear" w:color="auto" w:fill="FFFFFF"/>
        </w:rPr>
        <w:t>负责市城区道路（人行道、车行道）、桥梁、人行下穿通道、人行天桥、隧道等市政基础设施建设及日常维修维护管理工作；</w:t>
      </w:r>
    </w:p>
    <w:p>
      <w:pPr>
        <w:pStyle w:val="12"/>
        <w:widowControl/>
        <w:shd w:val="clear" w:color="auto" w:fill="auto"/>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w:t>
      </w:r>
      <w:r>
        <w:rPr>
          <w:rFonts w:ascii="仿宋_GB2312" w:hAnsi="仿宋_GB2312" w:eastAsia="仿宋_GB2312" w:cs="仿宋_GB2312"/>
          <w:color w:val="auto"/>
          <w:sz w:val="32"/>
          <w:szCs w:val="32"/>
          <w:highlight w:val="none"/>
          <w:shd w:val="clear" w:color="auto" w:fill="FFFFFF"/>
        </w:rPr>
        <w:t>组织和协调市城区排水防洪日常管理工作；</w:t>
      </w:r>
    </w:p>
    <w:p>
      <w:pPr>
        <w:pStyle w:val="12"/>
        <w:widowControl/>
        <w:shd w:val="clear" w:color="auto" w:fill="auto"/>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3.</w:t>
      </w:r>
      <w:r>
        <w:rPr>
          <w:rFonts w:ascii="仿宋_GB2312" w:hAnsi="仿宋_GB2312" w:eastAsia="仿宋_GB2312" w:cs="仿宋_GB2312"/>
          <w:color w:val="auto"/>
          <w:sz w:val="32"/>
          <w:szCs w:val="32"/>
          <w:highlight w:val="none"/>
          <w:shd w:val="clear" w:color="auto" w:fill="FFFFFF"/>
        </w:rPr>
        <w:t>配合做好地下管线（廊、道、沟）及窨井设施管理工作；</w:t>
      </w:r>
    </w:p>
    <w:p>
      <w:pPr>
        <w:pStyle w:val="12"/>
        <w:widowControl/>
        <w:shd w:val="clear" w:color="auto" w:fill="auto"/>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4.</w:t>
      </w:r>
      <w:r>
        <w:rPr>
          <w:rFonts w:ascii="仿宋_GB2312" w:hAnsi="仿宋_GB2312" w:eastAsia="仿宋_GB2312" w:cs="仿宋_GB2312"/>
          <w:color w:val="auto"/>
          <w:sz w:val="32"/>
          <w:szCs w:val="32"/>
          <w:highlight w:val="none"/>
          <w:shd w:val="clear" w:color="auto" w:fill="FFFFFF"/>
        </w:rPr>
        <w:t>做好市政公用设施运行、城镇燃气行业指导协调服务工作；</w:t>
      </w:r>
    </w:p>
    <w:p>
      <w:pPr>
        <w:pStyle w:val="12"/>
        <w:widowControl/>
        <w:shd w:val="clear" w:color="auto" w:fill="auto"/>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ascii="仿宋_GB2312" w:hAnsi="仿宋_GB2312" w:eastAsia="仿宋_GB2312" w:cs="仿宋_GB2312"/>
          <w:color w:val="auto"/>
          <w:sz w:val="32"/>
          <w:szCs w:val="32"/>
          <w:highlight w:val="none"/>
          <w:shd w:val="clear" w:color="auto" w:fill="FFFFFF"/>
        </w:rPr>
        <w:t>协调推进市城区市政基础设施项目建设工作；</w:t>
      </w:r>
    </w:p>
    <w:p>
      <w:pPr>
        <w:pStyle w:val="12"/>
        <w:widowControl/>
        <w:shd w:val="clear" w:color="auto" w:fill="auto"/>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6.</w:t>
      </w:r>
      <w:r>
        <w:rPr>
          <w:rFonts w:ascii="仿宋_GB2312" w:hAnsi="仿宋_GB2312" w:eastAsia="仿宋_GB2312" w:cs="仿宋_GB2312"/>
          <w:color w:val="auto"/>
          <w:sz w:val="32"/>
          <w:szCs w:val="32"/>
          <w:highlight w:val="none"/>
          <w:shd w:val="clear" w:color="auto" w:fill="FFFFFF"/>
        </w:rPr>
        <w:t>参与拟订市政设施建设计划的中长期发展规划和专业规划的编制并组织实施；参与市城区市政设施设计审查、施工过程质量监管和竣工验收等工作；</w:t>
      </w:r>
    </w:p>
    <w:p>
      <w:pPr>
        <w:pStyle w:val="12"/>
        <w:widowControl/>
        <w:shd w:val="clear" w:color="auto" w:fill="auto"/>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shd w:val="clear" w:color="auto" w:fill="FFFFFF"/>
          <w:lang w:val="en-US" w:eastAsia="zh-CN"/>
        </w:rPr>
        <w:t>7.</w:t>
      </w:r>
      <w:r>
        <w:rPr>
          <w:rFonts w:ascii="仿宋_GB2312" w:hAnsi="仿宋_GB2312" w:eastAsia="仿宋_GB2312" w:cs="仿宋_GB2312"/>
          <w:color w:val="auto"/>
          <w:sz w:val="32"/>
          <w:szCs w:val="32"/>
          <w:highlight w:val="none"/>
          <w:shd w:val="clear" w:color="auto" w:fill="FFFFFF"/>
        </w:rPr>
        <w:t>承担城市建设等相关辅助工作。</w:t>
      </w:r>
    </w:p>
    <w:p>
      <w:pPr>
        <w:pStyle w:val="4"/>
        <w:numPr>
          <w:numId w:val="0"/>
        </w:numPr>
        <w:shd w:val="clear" w:color="020000" w:fill="auto"/>
        <w:rPr>
          <w:rFonts w:hint="eastAsia" w:ascii="黑体" w:hAnsi="黑体" w:eastAsia="黑体"/>
          <w:b w:val="0"/>
          <w:color w:val="auto"/>
          <w:highlight w:val="none"/>
          <w:lang w:val="en-US" w:eastAsia="zh-CN"/>
        </w:rPr>
      </w:pPr>
      <w:bookmarkStart w:id="20" w:name="_Toc24326"/>
      <w:bookmarkStart w:id="21" w:name="_Toc706957224_WPSOffice_Level2"/>
      <w:r>
        <w:rPr>
          <w:rFonts w:hint="eastAsia" w:ascii="黑体" w:hAnsi="黑体" w:eastAsia="黑体"/>
          <w:b w:val="0"/>
          <w:color w:val="auto"/>
          <w:highlight w:val="none"/>
          <w:lang w:val="en-US" w:eastAsia="zh-CN"/>
        </w:rPr>
        <w:t>二、机构设置</w:t>
      </w:r>
      <w:bookmarkEnd w:id="20"/>
      <w:bookmarkEnd w:id="21"/>
    </w:p>
    <w:bookmarkEnd w:id="18"/>
    <w:bookmarkEnd w:id="19"/>
    <w:p>
      <w:pPr>
        <w:widowControl/>
        <w:pBdr>
          <w:bottom w:val="single" w:color="FFFFFF" w:sz="8" w:space="31"/>
        </w:pBdr>
        <w:shd w:val="clear" w:color="auto" w:fill="auto"/>
        <w:spacing w:line="580" w:lineRule="atLeast"/>
        <w:ind w:firstLine="668"/>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广元市城市建设事务中心</w:t>
      </w:r>
      <w:r>
        <w:rPr>
          <w:rFonts w:hint="eastAsia" w:ascii="仿宋_GB2312" w:hAnsi="仿宋_GB2312" w:eastAsia="仿宋_GB2312" w:cs="仿宋_GB2312"/>
          <w:color w:val="auto"/>
          <w:kern w:val="0"/>
          <w:sz w:val="32"/>
          <w:szCs w:val="32"/>
          <w:highlight w:val="none"/>
        </w:rPr>
        <w:t>是财政全额拨款事业单位，无下属单位。2022年</w:t>
      </w:r>
      <w:r>
        <w:rPr>
          <w:rFonts w:hint="eastAsia" w:ascii="仿宋_GB2312" w:hAnsi="仿宋_GB2312" w:eastAsia="仿宋_GB2312" w:cs="仿宋_GB2312"/>
          <w:color w:val="auto"/>
          <w:kern w:val="0"/>
          <w:sz w:val="32"/>
          <w:szCs w:val="32"/>
          <w:highlight w:val="none"/>
          <w:lang w:eastAsia="zh-CN"/>
        </w:rPr>
        <w:t>决</w:t>
      </w:r>
      <w:r>
        <w:rPr>
          <w:rFonts w:hint="eastAsia" w:ascii="仿宋_GB2312" w:hAnsi="仿宋_GB2312" w:eastAsia="仿宋_GB2312" w:cs="仿宋_GB2312"/>
          <w:color w:val="auto"/>
          <w:kern w:val="0"/>
          <w:sz w:val="32"/>
          <w:szCs w:val="32"/>
          <w:highlight w:val="none"/>
        </w:rPr>
        <w:t>算在职2</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人，退休</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人。</w:t>
      </w:r>
    </w:p>
    <w:p>
      <w:pPr>
        <w:widowControl/>
        <w:pBdr>
          <w:bottom w:val="single" w:color="FFFFFF" w:sz="8" w:space="31"/>
        </w:pBdr>
        <w:shd w:val="clear" w:color="auto" w:fill="auto"/>
        <w:spacing w:line="580" w:lineRule="atLeast"/>
        <w:ind w:firstLine="668"/>
        <w:rPr>
          <w:rFonts w:hint="eastAsia" w:ascii="仿宋_GB2312" w:hAns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广元市城市建设事务中心</w:t>
      </w:r>
      <w:r>
        <w:rPr>
          <w:rFonts w:hint="eastAsia" w:ascii="仿宋_GB2312" w:eastAsia="仿宋_GB2312" w:cs="仿宋_GB2312"/>
          <w:color w:val="auto"/>
          <w:sz w:val="32"/>
          <w:szCs w:val="32"/>
          <w:highlight w:val="none"/>
        </w:rPr>
        <w:t>内设科室分别为：办公室、市政维修管理办公室、财务室、工程管理办公室、市政维修监理办公室。</w:t>
      </w:r>
    </w:p>
    <w:p>
      <w:pPr>
        <w:widowControl/>
        <w:shd w:val="clear" w:color="010000" w:fill="auto"/>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shd w:val="clear" w:color="010000" w:fill="auto"/>
        <w:ind w:right="440"/>
        <w:jc w:val="center"/>
        <w:rPr>
          <w:rStyle w:val="24"/>
          <w:rFonts w:ascii="黑体" w:hAnsi="黑体" w:eastAsia="黑体"/>
          <w:b w:val="0"/>
          <w:bCs/>
          <w:color w:val="auto"/>
          <w:highlight w:val="none"/>
        </w:rPr>
      </w:pPr>
      <w:bookmarkStart w:id="22" w:name="_Toc30622"/>
      <w:bookmarkStart w:id="23" w:name="_Toc155592787_WPSOffice_Level1"/>
      <w:bookmarkStart w:id="24" w:name="_Toc15377204"/>
      <w:bookmarkStart w:id="25"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2"/>
      <w:bookmarkEnd w:id="23"/>
      <w:bookmarkEnd w:id="24"/>
      <w:bookmarkEnd w:id="25"/>
    </w:p>
    <w:p>
      <w:pPr>
        <w:shd w:val="clear" w:color="000000" w:fill="auto"/>
        <w:rPr>
          <w:color w:val="auto"/>
          <w:highlight w:val="none"/>
        </w:rPr>
      </w:pPr>
    </w:p>
    <w:p>
      <w:pPr>
        <w:pStyle w:val="18"/>
        <w:numPr>
          <w:ilvl w:val="0"/>
          <w:numId w:val="2"/>
        </w:numPr>
        <w:shd w:val="clear" w:color="020000" w:fill="auto"/>
        <w:spacing w:line="600" w:lineRule="exact"/>
        <w:ind w:firstLineChars="0"/>
        <w:outlineLvl w:val="1"/>
        <w:rPr>
          <w:rStyle w:val="25"/>
          <w:rFonts w:ascii="黑体" w:hAnsi="黑体" w:eastAsia="黑体"/>
          <w:b w:val="0"/>
          <w:color w:val="auto"/>
          <w:highlight w:val="none"/>
        </w:rPr>
      </w:pPr>
      <w:bookmarkStart w:id="26" w:name="_Toc15396603"/>
      <w:bookmarkStart w:id="27" w:name="_Toc15377205"/>
      <w:bookmarkStart w:id="28" w:name="_Toc6737"/>
      <w:bookmarkStart w:id="29" w:name="_Toc1876036793_WPSOffice_Level2"/>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6"/>
      <w:bookmarkEnd w:id="27"/>
      <w:bookmarkEnd w:id="28"/>
      <w:bookmarkEnd w:id="29"/>
    </w:p>
    <w:p>
      <w:pPr>
        <w:shd w:val="clear" w:color="000000" w:fill="auto"/>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1621.47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571.56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54.44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2022年新增托斯卡纳A区代建广场项目资金1186.85万元</w:t>
      </w:r>
      <w:r>
        <w:rPr>
          <w:rFonts w:hint="eastAsia" w:ascii="仿宋_GB2312" w:hAnsi="仿宋_GB2312" w:eastAsia="仿宋_GB2312" w:cs="仿宋_GB2312"/>
          <w:color w:val="auto"/>
          <w:sz w:val="32"/>
          <w:szCs w:val="32"/>
          <w:highlight w:val="none"/>
          <w:lang w:eastAsia="zh-CN"/>
        </w:rPr>
        <w:t>。</w:t>
      </w:r>
    </w:p>
    <w:p>
      <w:pPr>
        <w:pStyle w:val="2"/>
        <w:shd w:val="clear" w:color="010000" w:fill="auto"/>
        <w:rPr>
          <w:rFonts w:hint="eastAsia" w:ascii="仿宋" w:hAnsi="仿宋" w:eastAsia="仿宋"/>
          <w:color w:val="auto"/>
          <w:sz w:val="32"/>
          <w:szCs w:val="32"/>
          <w:highlight w:val="none"/>
          <w:lang w:eastAsia="zh-CN"/>
        </w:rPr>
      </w:pPr>
      <w:r>
        <w:rPr>
          <w:rFonts w:ascii="Calibri" w:hAnsi="Calibri" w:eastAsia="宋体" w:cs="Times New Roman"/>
          <w:color w:val="auto"/>
          <w:kern w:val="0"/>
          <w:sz w:val="18"/>
          <w:szCs w:val="18"/>
          <w:highlight w:val="none"/>
          <w:lang w:val="en-US" w:eastAsia="zh-CN" w:bidi="ar-SA"/>
        </w:rPr>
        <w:pict>
          <v:rect id="文本框 10" o:spid="_x0000_s1028" style="position:absolute;left:0;margin-left:294.35pt;margin-top:10.25pt;height:21.7pt;width:62.2pt;rotation:0f;z-index:251658240;"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rFonts w:hint="eastAsia" w:eastAsia="宋体"/>
                      <w:sz w:val="18"/>
                      <w:szCs w:val="18"/>
                      <w:lang w:eastAsia="zh-CN"/>
                    </w:rPr>
                  </w:pPr>
                  <w:r>
                    <w:rPr>
                      <w:rFonts w:hint="eastAsia"/>
                      <w:sz w:val="18"/>
                      <w:szCs w:val="18"/>
                      <w:lang w:eastAsia="zh-CN"/>
                    </w:rPr>
                    <w:t>单位：万元</w:t>
                  </w:r>
                </w:p>
              </w:txbxContent>
            </v:textbox>
          </v:rect>
        </w:pict>
      </w:r>
      <w:r>
        <w:rPr>
          <w:rFonts w:hint="eastAsia"/>
          <w:color w:val="auto"/>
          <w:highlight w:val="none"/>
          <w:lang w:val="en-US" w:eastAsia="zh-CN"/>
        </w:rPr>
        <w:t xml:space="preserve">          </w:t>
      </w:r>
      <w:r>
        <w:rPr>
          <w:rFonts w:ascii="Calibri" w:hAnsi="Calibri" w:eastAsia="宋体" w:cs="Times New Roman"/>
          <w:color w:val="auto"/>
          <w:kern w:val="0"/>
          <w:sz w:val="18"/>
          <w:szCs w:val="18"/>
          <w:highlight w:val="none"/>
          <w:lang w:val="en-US" w:eastAsia="zh-CN" w:bidi="ar-SA"/>
        </w:rPr>
        <w:pict>
          <v:shape id="图表 1" o:spid="_x0000_s1029" type="#_x0000_t75" style="height:222.05pt;width:317.9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shd w:val="clear" w:color="000000" w:fill="auto"/>
        <w:tabs>
          <w:tab w:val="left" w:pos="216"/>
        </w:tabs>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lang w:eastAsia="zh-CN"/>
        </w:rPr>
        <w:tab/>
      </w:r>
      <w:r>
        <w:rPr>
          <w:rFonts w:hint="eastAsia" w:ascii="仿宋" w:hAnsi="仿宋" w:eastAsia="仿宋"/>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图1：收、支决算总计变动情况图</w:t>
      </w:r>
    </w:p>
    <w:p>
      <w:pPr>
        <w:pStyle w:val="18"/>
        <w:numPr>
          <w:ilvl w:val="0"/>
          <w:numId w:val="2"/>
        </w:numPr>
        <w:shd w:val="clear" w:color="020000" w:fill="auto"/>
        <w:spacing w:line="600" w:lineRule="exact"/>
        <w:ind w:firstLineChars="0"/>
        <w:outlineLvl w:val="1"/>
        <w:rPr>
          <w:rStyle w:val="25"/>
          <w:rFonts w:ascii="黑体" w:hAnsi="黑体" w:eastAsia="黑体"/>
          <w:b w:val="0"/>
          <w:color w:val="auto"/>
          <w:highlight w:val="none"/>
        </w:rPr>
      </w:pPr>
      <w:bookmarkStart w:id="30" w:name="_Toc15377206"/>
      <w:bookmarkStart w:id="31" w:name="_Toc5686"/>
      <w:bookmarkStart w:id="32" w:name="_Toc15396604"/>
      <w:bookmarkStart w:id="33" w:name="_Toc742695742_WPSOffice_Level2"/>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0"/>
      <w:bookmarkEnd w:id="31"/>
      <w:bookmarkEnd w:id="32"/>
      <w:bookmarkEnd w:id="33"/>
    </w:p>
    <w:p>
      <w:pPr>
        <w:shd w:val="clear" w:color="000000" w:fill="auto"/>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bookmarkStart w:id="34" w:name="_Toc14911"/>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1620.87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434.02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26.78</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1186.85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bookmarkEnd w:id="34"/>
    </w:p>
    <w:p>
      <w:pPr>
        <w:shd w:val="clear" w:color="000000" w:fill="auto"/>
        <w:spacing w:line="600" w:lineRule="exact"/>
        <w:ind w:firstLine="640" w:firstLineChars="200"/>
        <w:outlineLvl w:val="9"/>
        <w:rPr>
          <w:rFonts w:ascii="仿宋" w:hAnsi="仿宋" w:eastAsia="仿宋"/>
          <w:color w:val="auto"/>
          <w:sz w:val="32"/>
          <w:szCs w:val="32"/>
          <w:highlight w:val="none"/>
        </w:rPr>
      </w:pPr>
    </w:p>
    <w:p>
      <w:pPr>
        <w:pStyle w:val="2"/>
        <w:shd w:val="clear" w:color="010000" w:fill="auto"/>
        <w:rPr>
          <w:color w:val="auto"/>
          <w:highlight w:val="none"/>
        </w:rPr>
      </w:pPr>
      <w:r>
        <w:rPr>
          <w:rFonts w:hint="eastAsia" w:ascii="仿宋" w:hAnsi="仿宋" w:eastAsia="仿宋"/>
          <w:color w:val="auto"/>
          <w:sz w:val="32"/>
          <w:szCs w:val="32"/>
          <w:highlight w:val="none"/>
          <w:lang w:val="en-US" w:eastAsia="zh-CN"/>
        </w:rPr>
        <w:t xml:space="preserve">     </w:t>
      </w:r>
      <w:r>
        <w:rPr>
          <w:rFonts w:ascii="Calibri" w:hAnsi="Calibri" w:eastAsia="宋体" w:cs="Times New Roman"/>
          <w:color w:val="auto"/>
          <w:kern w:val="0"/>
          <w:sz w:val="18"/>
          <w:szCs w:val="18"/>
          <w:highlight w:val="none"/>
          <w:lang w:val="en-US" w:eastAsia="zh-CN" w:bidi="ar-SA"/>
        </w:rPr>
        <w:pict>
          <v:shape id="图表 2" o:spid="_x0000_s1030" type="#_x0000_t75" style="height:221.25pt;width:315.0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shd w:val="clear" w:color="000000" w:fill="auto"/>
        <w:spacing w:line="600" w:lineRule="exact"/>
        <w:ind w:firstLine="2240" w:firstLineChars="700"/>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18"/>
        <w:numPr>
          <w:ilvl w:val="0"/>
          <w:numId w:val="2"/>
        </w:numPr>
        <w:shd w:val="clear" w:color="020000" w:fill="auto"/>
        <w:spacing w:line="600" w:lineRule="exact"/>
        <w:ind w:firstLineChars="0"/>
        <w:outlineLvl w:val="1"/>
        <w:rPr>
          <w:rStyle w:val="25"/>
          <w:rFonts w:ascii="黑体" w:hAnsi="黑体" w:eastAsia="黑体"/>
          <w:b w:val="0"/>
          <w:color w:val="auto"/>
          <w:highlight w:val="none"/>
        </w:rPr>
      </w:pPr>
      <w:bookmarkStart w:id="35" w:name="_Toc15396605"/>
      <w:bookmarkStart w:id="36" w:name="_Toc1750225707_WPSOffice_Level2"/>
      <w:bookmarkStart w:id="37" w:name="_Toc31723"/>
      <w:bookmarkStart w:id="38"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5"/>
      <w:bookmarkEnd w:id="36"/>
      <w:bookmarkEnd w:id="37"/>
      <w:bookmarkEnd w:id="38"/>
    </w:p>
    <w:p>
      <w:pPr>
        <w:shd w:val="clear" w:color="000000" w:fill="auto"/>
        <w:spacing w:line="600" w:lineRule="exact"/>
        <w:ind w:firstLine="640" w:firstLineChars="200"/>
        <w:outlineLvl w:val="1"/>
        <w:rPr>
          <w:rFonts w:ascii="仿宋" w:hAnsi="仿宋" w:eastAsia="仿宋"/>
          <w:color w:val="auto"/>
          <w:sz w:val="32"/>
          <w:szCs w:val="32"/>
          <w:highlight w:val="none"/>
          <w:shd w:val="pct10" w:color="auto" w:fill="FFFFFF"/>
        </w:rPr>
      </w:pPr>
      <w:bookmarkStart w:id="39" w:name="_Toc3779"/>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1621.47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408.22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25.18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1213.25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74.82</w:t>
      </w:r>
      <w:r>
        <w:rPr>
          <w:rFonts w:hint="eastAsia" w:ascii="仿宋_GB2312" w:hAnsi="仿宋_GB2312" w:eastAsia="仿宋_GB2312" w:cs="仿宋_GB2312"/>
          <w:color w:val="auto"/>
          <w:sz w:val="32"/>
          <w:szCs w:val="32"/>
          <w:highlight w:val="none"/>
        </w:rPr>
        <w:t>%。</w:t>
      </w:r>
      <w:bookmarkEnd w:id="39"/>
    </w:p>
    <w:p>
      <w:pPr>
        <w:pStyle w:val="2"/>
        <w:shd w:val="clear" w:color="010000" w:fill="auto"/>
        <w:rPr>
          <w:color w:val="auto"/>
          <w:highlight w:val="none"/>
        </w:rPr>
      </w:pPr>
      <w:r>
        <w:rPr>
          <w:rFonts w:hint="eastAsia"/>
          <w:color w:val="auto"/>
          <w:highlight w:val="none"/>
          <w:lang w:val="en-US" w:eastAsia="zh-CN"/>
        </w:rPr>
        <w:t xml:space="preserve">          </w:t>
      </w:r>
      <w:r>
        <w:rPr>
          <w:rFonts w:ascii="Calibri" w:hAnsi="Calibri" w:eastAsia="宋体" w:cs="Times New Roman"/>
          <w:color w:val="auto"/>
          <w:kern w:val="0"/>
          <w:sz w:val="18"/>
          <w:szCs w:val="18"/>
          <w:highlight w:val="none"/>
          <w:lang w:val="en-US" w:eastAsia="zh-CN" w:bidi="ar-SA"/>
        </w:rPr>
        <w:pict>
          <v:shape id="图表 3" o:spid="_x0000_s1031" type="#_x0000_t75" style="height:227.25pt;width:312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shd w:val="clear" w:color="000000" w:fill="auto"/>
        <w:spacing w:line="600" w:lineRule="exact"/>
        <w:ind w:firstLine="2240" w:firstLineChars="7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hd w:val="clear" w:color="000000" w:fill="auto"/>
        <w:spacing w:line="600" w:lineRule="exact"/>
        <w:ind w:firstLine="640" w:firstLineChars="200"/>
        <w:outlineLvl w:val="1"/>
        <w:rPr>
          <w:rStyle w:val="25"/>
          <w:rFonts w:ascii="黑体" w:hAnsi="黑体" w:eastAsia="黑体"/>
          <w:b w:val="0"/>
          <w:color w:val="auto"/>
          <w:highlight w:val="none"/>
        </w:rPr>
      </w:pPr>
      <w:bookmarkStart w:id="40" w:name="_Toc1280725510_WPSOffice_Level2"/>
      <w:bookmarkStart w:id="41" w:name="_Toc15377208"/>
      <w:bookmarkStart w:id="42" w:name="_Toc27414"/>
      <w:bookmarkStart w:id="43"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40"/>
      <w:bookmarkEnd w:id="41"/>
      <w:bookmarkEnd w:id="42"/>
      <w:bookmarkEnd w:id="43"/>
    </w:p>
    <w:p>
      <w:pPr>
        <w:shd w:val="clear" w:color="000000" w:fill="auto"/>
        <w:spacing w:line="600" w:lineRule="exact"/>
        <w:ind w:firstLine="64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1621.47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571.56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54.44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2022年新增托斯卡纳A区代建广场项目资金1186.85万元。</w:t>
      </w:r>
    </w:p>
    <w:p>
      <w:pPr>
        <w:pStyle w:val="2"/>
        <w:shd w:val="clear" w:color="010000" w:fill="auto"/>
        <w:rPr>
          <w:color w:val="auto"/>
          <w:highlight w:val="none"/>
        </w:rPr>
      </w:pPr>
      <w:r>
        <w:rPr>
          <w:rFonts w:ascii="Calibri" w:hAnsi="Calibri" w:eastAsia="宋体" w:cs="Times New Roman"/>
          <w:color w:val="auto"/>
          <w:kern w:val="0"/>
          <w:sz w:val="18"/>
          <w:szCs w:val="18"/>
          <w:highlight w:val="none"/>
          <w:lang w:val="en-US" w:eastAsia="zh-CN" w:bidi="ar-SA"/>
        </w:rPr>
        <w:pict>
          <v:rect id="文本框 11" o:spid="_x0000_s1032" style="position:absolute;left:0;margin-left:304.8pt;margin-top:23.65pt;height:23.2pt;width:57.75pt;rotation:0f;z-index:251659264;"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rFonts w:hint="eastAsia" w:eastAsia="宋体"/>
                      <w:lang w:eastAsia="zh-CN"/>
                    </w:rPr>
                  </w:pPr>
                  <w:r>
                    <w:rPr>
                      <w:rFonts w:hint="eastAsia"/>
                      <w:sz w:val="18"/>
                      <w:szCs w:val="18"/>
                      <w:lang w:eastAsia="zh-CN"/>
                    </w:rPr>
                    <w:t>单位：万</w:t>
                  </w:r>
                  <w:r>
                    <w:rPr>
                      <w:rFonts w:hint="eastAsia"/>
                      <w:lang w:eastAsia="zh-CN"/>
                    </w:rPr>
                    <w:t>元</w:t>
                  </w:r>
                </w:p>
              </w:txbxContent>
            </v:textbox>
          </v:rect>
        </w:pict>
      </w:r>
      <w:r>
        <w:rPr>
          <w:rFonts w:hint="eastAsia"/>
          <w:color w:val="auto"/>
          <w:highlight w:val="none"/>
          <w:lang w:val="en-US" w:eastAsia="zh-CN"/>
        </w:rPr>
        <w:t xml:space="preserve">           </w:t>
      </w:r>
      <w:r>
        <w:rPr>
          <w:rFonts w:ascii="Calibri" w:hAnsi="Calibri" w:eastAsia="宋体" w:cs="Times New Roman"/>
          <w:color w:val="auto"/>
          <w:kern w:val="0"/>
          <w:sz w:val="18"/>
          <w:szCs w:val="18"/>
          <w:highlight w:val="none"/>
          <w:lang w:val="en-US" w:eastAsia="zh-CN" w:bidi="ar-SA"/>
        </w:rPr>
        <w:pict>
          <v:shape id="图表 4" o:spid="_x0000_s1033" type="#_x0000_t75" style="height:233.3pt;width:31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shd w:val="clear" w:color="000000" w:fill="auto"/>
        <w:spacing w:line="600" w:lineRule="exact"/>
        <w:ind w:firstLine="1280" w:firstLineChars="400"/>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hd w:val="clear" w:color="000000" w:fill="auto"/>
        <w:spacing w:line="600" w:lineRule="exact"/>
        <w:ind w:firstLine="640" w:firstLineChars="200"/>
        <w:outlineLvl w:val="1"/>
        <w:rPr>
          <w:rStyle w:val="25"/>
          <w:rFonts w:ascii="黑体" w:hAnsi="黑体" w:eastAsia="黑体"/>
          <w:b w:val="0"/>
          <w:color w:val="auto"/>
          <w:highlight w:val="none"/>
        </w:rPr>
      </w:pPr>
      <w:bookmarkStart w:id="44" w:name="_Toc15377209"/>
      <w:bookmarkStart w:id="45" w:name="_Toc15396607"/>
      <w:bookmarkStart w:id="46" w:name="_Toc1218211953_WPSOffice_Level2"/>
      <w:bookmarkStart w:id="47" w:name="_Toc571"/>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4"/>
      <w:bookmarkEnd w:id="45"/>
      <w:bookmarkEnd w:id="46"/>
      <w:bookmarkEnd w:id="47"/>
    </w:p>
    <w:p>
      <w:pPr>
        <w:shd w:val="clear" w:color="000000" w:fill="auto"/>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48" w:name="_Toc155592787_WPSOffice_Level3"/>
      <w:bookmarkStart w:id="49" w:name="_Toc15377210"/>
      <w:r>
        <w:rPr>
          <w:rFonts w:hint="eastAsia" w:ascii="楷体_GB2312" w:hAnsi="楷体_GB2312" w:eastAsia="楷体_GB2312" w:cs="楷体_GB2312"/>
          <w:b/>
          <w:color w:val="auto"/>
          <w:sz w:val="32"/>
          <w:szCs w:val="32"/>
          <w:highlight w:val="none"/>
        </w:rPr>
        <w:t>（一）一般公共预算财政拨款支出决算总体情况</w:t>
      </w:r>
      <w:bookmarkEnd w:id="48"/>
      <w:bookmarkEnd w:id="49"/>
    </w:p>
    <w:p>
      <w:pPr>
        <w:shd w:val="clear" w:color="000000" w:fill="auto"/>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434.62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26.8</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424.69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49.42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eastAsia="zh-CN"/>
        </w:rPr>
        <w:t>包含还债资金</w:t>
      </w:r>
      <w:r>
        <w:rPr>
          <w:rFonts w:hint="eastAsia" w:ascii="仿宋_GB2312" w:hAnsi="仿宋_GB2312" w:eastAsia="仿宋_GB2312" w:cs="仿宋_GB2312"/>
          <w:color w:val="auto"/>
          <w:sz w:val="32"/>
          <w:szCs w:val="32"/>
          <w:highlight w:val="none"/>
          <w:lang w:val="en-US" w:eastAsia="zh-CN"/>
        </w:rPr>
        <w:t>500万元。</w:t>
      </w:r>
    </w:p>
    <w:p>
      <w:pPr>
        <w:shd w:val="clear" w:color="000000" w:fill="auto"/>
        <w:spacing w:line="600" w:lineRule="exact"/>
        <w:ind w:firstLine="420" w:firstLineChars="200"/>
        <w:rPr>
          <w:rFonts w:ascii="仿宋" w:hAnsi="仿宋" w:eastAsia="仿宋"/>
          <w:color w:val="auto"/>
          <w:sz w:val="32"/>
          <w:szCs w:val="32"/>
          <w:highlight w:val="none"/>
        </w:rPr>
      </w:pPr>
      <w:r>
        <w:rPr>
          <w:rFonts w:ascii="Times New Roman" w:hAnsi="Times New Roman" w:eastAsia="宋体" w:cs="Times New Roman"/>
          <w:color w:val="auto"/>
          <w:kern w:val="2"/>
          <w:sz w:val="21"/>
          <w:szCs w:val="24"/>
          <w:highlight w:val="none"/>
          <w:lang w:val="en-US" w:eastAsia="zh-CN" w:bidi="ar-SA"/>
        </w:rPr>
        <w:pict>
          <v:shape id="图表 5" o:spid="_x0000_s1034" type="#_x0000_t75" style="position:absolute;left:0;margin-left:44.25pt;margin-top:21.8pt;height:188.2pt;width:312pt;mso-wrap-distance-left:9.05pt;mso-wrap-distance-right:9.05pt;rotation:0f;z-index:-251655168;" o:ole="f" fillcolor="#FFFFFF" filled="f" o:preferrelative="t" stroked="f" coordorigin="0,0" coordsize="21600,21600" wrapcoords="-28 -40 -28 21566 21572 21566 21572 -40 -28 -40">
            <v:fill on="f" color2="#FFFFFF" focus="0%"/>
            <v:imagedata gain="65536f" blacklevel="0f" gamma="0" o:title="" r:id="rId13"/>
            <o:lock v:ext="edit" position="f" selection="f" grouping="f" rotation="f" cropping="f" text="f" aspectratio="t"/>
            <w10:wrap type="tight"/>
          </v:shape>
        </w:pict>
      </w:r>
    </w:p>
    <w:p>
      <w:pPr>
        <w:pStyle w:val="2"/>
        <w:shd w:val="clear" w:color="010000" w:fill="auto"/>
        <w:rPr>
          <w:color w:val="auto"/>
          <w:highlight w:val="none"/>
        </w:rPr>
      </w:pPr>
      <w:r>
        <w:rPr>
          <w:rFonts w:ascii="Calibri" w:hAnsi="Calibri" w:eastAsia="宋体" w:cs="Times New Roman"/>
          <w:color w:val="auto"/>
          <w:kern w:val="0"/>
          <w:sz w:val="32"/>
          <w:szCs w:val="18"/>
          <w:highlight w:val="none"/>
          <w:lang w:val="en-US" w:eastAsia="zh-CN" w:bidi="ar-SA"/>
        </w:rPr>
        <w:pict>
          <v:rect id="文本框 12" o:spid="_x0000_s1035" style="position:absolute;left:0;margin-left:292.8pt;margin-top:36.4pt;height:19.5pt;width:68.3pt;rotation:0f;z-index:251660288;"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rFonts w:hint="eastAsia" w:eastAsia="宋体"/>
                      <w:lang w:eastAsia="zh-CN"/>
                    </w:rPr>
                  </w:pPr>
                  <w:r>
                    <w:rPr>
                      <w:rFonts w:hint="eastAsia"/>
                      <w:lang w:eastAsia="zh-CN"/>
                    </w:rPr>
                    <w:t>单位：万元</w:t>
                  </w:r>
                </w:p>
              </w:txbxContent>
            </v:textbox>
          </v:rect>
        </w:pict>
      </w:r>
      <w:r>
        <w:rPr>
          <w:rFonts w:hint="eastAsia" w:ascii="仿宋" w:hAnsi="仿宋" w:eastAsia="仿宋"/>
          <w:color w:val="auto"/>
          <w:sz w:val="32"/>
          <w:szCs w:val="32"/>
          <w:highlight w:val="none"/>
          <w:lang w:val="en-US" w:eastAsia="zh-CN"/>
        </w:rPr>
        <w:t xml:space="preserve">       </w:t>
      </w:r>
    </w:p>
    <w:p>
      <w:pPr>
        <w:shd w:val="clear" w:color="000000" w:fill="auto"/>
        <w:spacing w:line="600" w:lineRule="exact"/>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shd w:val="clear" w:color="000000" w:fill="auto"/>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50" w:name="_Toc706957224_WPSOffice_Level3"/>
      <w:bookmarkStart w:id="51" w:name="_Toc15377211"/>
      <w:r>
        <w:rPr>
          <w:rFonts w:hint="eastAsia" w:ascii="楷体_GB2312" w:hAnsi="楷体_GB2312" w:eastAsia="楷体_GB2312" w:cs="楷体_GB2312"/>
          <w:b/>
          <w:color w:val="auto"/>
          <w:sz w:val="32"/>
          <w:szCs w:val="32"/>
          <w:highlight w:val="none"/>
        </w:rPr>
        <w:t>（二）一般公共预算财政拨款支出决算结构情况</w:t>
      </w:r>
      <w:bookmarkEnd w:id="50"/>
      <w:bookmarkEnd w:id="51"/>
    </w:p>
    <w:p>
      <w:pPr>
        <w:shd w:val="clear" w:color="000000" w:fill="auto"/>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434.62</w:t>
      </w:r>
      <w:r>
        <w:rPr>
          <w:rFonts w:hint="eastAsia" w:ascii="仿宋_GB2312" w:hAnsi="仿宋_GB2312" w:eastAsia="仿宋_GB2312" w:cs="仿宋_GB2312"/>
          <w:b w:val="0"/>
          <w:bCs w:val="0"/>
          <w:color w:val="auto"/>
          <w:sz w:val="32"/>
          <w:szCs w:val="32"/>
          <w:highlight w:val="none"/>
        </w:rPr>
        <w:t>万元，主要用于以下方面:社会保障和就业支出</w:t>
      </w:r>
      <w:r>
        <w:rPr>
          <w:rFonts w:hint="eastAsia" w:ascii="仿宋_GB2312" w:hAnsi="仿宋_GB2312" w:eastAsia="仿宋_GB2312" w:cs="仿宋_GB2312"/>
          <w:b w:val="0"/>
          <w:bCs w:val="0"/>
          <w:color w:val="auto"/>
          <w:sz w:val="32"/>
          <w:szCs w:val="32"/>
          <w:highlight w:val="none"/>
          <w:lang w:val="en-US" w:eastAsia="zh-CN"/>
        </w:rPr>
        <w:t>25.28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5.82</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13.37</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3.08</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城乡社区支出</w:t>
      </w:r>
      <w:r>
        <w:rPr>
          <w:rFonts w:hint="eastAsia" w:ascii="仿宋_GB2312" w:hAnsi="仿宋_GB2312" w:eastAsia="仿宋_GB2312" w:cs="仿宋_GB2312"/>
          <w:b w:val="0"/>
          <w:bCs w:val="0"/>
          <w:color w:val="auto"/>
          <w:sz w:val="32"/>
          <w:szCs w:val="32"/>
          <w:highlight w:val="none"/>
          <w:lang w:val="en-US" w:eastAsia="zh-CN"/>
        </w:rPr>
        <w:t>349.75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80.47</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46.22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10.63</w:t>
      </w:r>
      <w:r>
        <w:rPr>
          <w:rFonts w:hint="eastAsia" w:ascii="仿宋_GB2312" w:hAnsi="仿宋_GB2312" w:eastAsia="仿宋_GB2312" w:cs="仿宋_GB2312"/>
          <w:b w:val="0"/>
          <w:bCs w:val="0"/>
          <w:color w:val="auto"/>
          <w:sz w:val="32"/>
          <w:szCs w:val="32"/>
          <w:highlight w:val="none"/>
        </w:rPr>
        <w:t>%。</w:t>
      </w:r>
    </w:p>
    <w:p>
      <w:pPr>
        <w:pStyle w:val="2"/>
        <w:shd w:val="clear" w:color="010000" w:fill="auto"/>
        <w:rPr>
          <w:rFonts w:hint="eastAsia"/>
          <w:color w:val="auto"/>
          <w:highlight w:val="none"/>
        </w:rPr>
      </w:pPr>
      <w:r>
        <w:rPr>
          <w:rFonts w:hint="eastAsia"/>
          <w:color w:val="auto"/>
          <w:highlight w:val="none"/>
          <w:lang w:val="en-US" w:eastAsia="zh-CN"/>
        </w:rPr>
        <w:t xml:space="preserve">             </w:t>
      </w:r>
      <w:r>
        <w:rPr>
          <w:rFonts w:ascii="Calibri" w:hAnsi="Calibri" w:eastAsia="宋体" w:cs="Times New Roman"/>
          <w:color w:val="auto"/>
          <w:kern w:val="0"/>
          <w:sz w:val="18"/>
          <w:szCs w:val="18"/>
          <w:highlight w:val="none"/>
          <w:lang w:val="en-US" w:eastAsia="zh-CN" w:bidi="ar-SA"/>
        </w:rPr>
        <w:pict>
          <v:shape id="图表 6" o:spid="_x0000_s1036" type="#_x0000_t75" style="height:228pt;width:304.5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shd w:val="clear" w:color="000000" w:fill="auto"/>
        <w:spacing w:line="600" w:lineRule="exact"/>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shd w:val="clear" w:color="000000" w:fill="auto"/>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52" w:name="_Toc15377212"/>
      <w:bookmarkStart w:id="53" w:name="_Toc1876036793_WPSOffice_Level3"/>
      <w:r>
        <w:rPr>
          <w:rFonts w:hint="eastAsia" w:ascii="楷体_GB2312" w:hAnsi="楷体_GB2312" w:eastAsia="楷体_GB2312" w:cs="楷体_GB2312"/>
          <w:b/>
          <w:color w:val="auto"/>
          <w:sz w:val="32"/>
          <w:szCs w:val="32"/>
          <w:highlight w:val="none"/>
        </w:rPr>
        <w:t>（三）一般公共预算财政拨款支出决算具体情况</w:t>
      </w:r>
      <w:bookmarkEnd w:id="52"/>
      <w:bookmarkEnd w:id="53"/>
    </w:p>
    <w:p>
      <w:pPr>
        <w:shd w:val="clear" w:color="000000" w:fill="auto"/>
        <w:spacing w:line="600" w:lineRule="exact"/>
        <w:ind w:firstLine="640" w:firstLineChars="200"/>
        <w:outlineLvl w:val="1"/>
        <w:rPr>
          <w:rFonts w:hint="eastAsia" w:ascii="仿宋_GB2312" w:hAnsi="仿宋_GB2312" w:eastAsia="仿宋_GB2312" w:cs="仿宋_GB2312"/>
          <w:b w:val="0"/>
          <w:bCs/>
          <w:color w:val="auto"/>
          <w:sz w:val="32"/>
          <w:szCs w:val="32"/>
          <w:highlight w:val="none"/>
        </w:rPr>
      </w:pPr>
      <w:bookmarkStart w:id="54" w:name="_Toc14432"/>
      <w:bookmarkStart w:id="55" w:name="_Toc15378460"/>
      <w:bookmarkStart w:id="56" w:name="_Toc15377213"/>
      <w:bookmarkStart w:id="57" w:name="_Toc15377444"/>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434.62</w:t>
      </w:r>
      <w:r>
        <w:rPr>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%。其中：</w:t>
      </w:r>
      <w:bookmarkEnd w:id="54"/>
      <w:bookmarkEnd w:id="55"/>
      <w:bookmarkEnd w:id="56"/>
      <w:bookmarkEnd w:id="57"/>
    </w:p>
    <w:p>
      <w:pPr>
        <w:widowControl w:val="0"/>
        <w:shd w:val="clear" w:color="040000" w:fill="auto"/>
        <w:wordWrap/>
        <w:adjustRightInd/>
        <w:spacing w:line="576" w:lineRule="exact"/>
        <w:ind w:firstLine="640" w:firstLineChars="200"/>
        <w:textAlignment w:val="auto"/>
        <w:rPr>
          <w:rFonts w:ascii="仿宋" w:hAnsi="仿宋" w:eastAsia="仿宋"/>
          <w:b/>
          <w:color w:val="auto"/>
          <w:sz w:val="32"/>
          <w:szCs w:val="32"/>
          <w:highlight w:val="none"/>
        </w:rPr>
      </w:pPr>
      <w:r>
        <w:rPr>
          <w:rStyle w:val="14"/>
          <w:rFonts w:hint="eastAsia" w:ascii="仿宋_GB2312" w:hAnsi="仿宋_GB2312" w:eastAsia="仿宋_GB2312" w:cs="仿宋_GB2312"/>
          <w:b w:val="0"/>
          <w:bCs/>
          <w:color w:val="auto"/>
          <w:sz w:val="32"/>
          <w:szCs w:val="32"/>
          <w:highlight w:val="none"/>
          <w:lang w:val="en-US" w:eastAsia="zh-CN"/>
        </w:rPr>
        <w:t>1</w:t>
      </w:r>
      <w:r>
        <w:rPr>
          <w:rStyle w:val="14"/>
          <w:rFonts w:hint="eastAsia" w:ascii="仿宋_GB2312" w:hAnsi="仿宋_GB2312" w:eastAsia="仿宋_GB2312" w:cs="仿宋_GB2312"/>
          <w:b w:val="0"/>
          <w:bCs/>
          <w:color w:val="auto"/>
          <w:sz w:val="32"/>
          <w:szCs w:val="32"/>
          <w:highlight w:val="none"/>
        </w:rPr>
        <w:t>.社会保障和就业</w:t>
      </w:r>
      <w:r>
        <w:rPr>
          <w:rStyle w:val="14"/>
          <w:rFonts w:hint="eastAsia" w:ascii="仿宋_GB2312" w:hAnsi="仿宋_GB2312" w:eastAsia="仿宋_GB2312" w:cs="仿宋_GB2312"/>
          <w:b w:val="0"/>
          <w:bCs/>
          <w:color w:val="auto"/>
          <w:sz w:val="32"/>
          <w:szCs w:val="32"/>
          <w:highlight w:val="none"/>
          <w:lang w:eastAsia="zh-CN"/>
        </w:rPr>
        <w:t>支出</w:t>
      </w:r>
      <w:r>
        <w:rPr>
          <w:rStyle w:val="14"/>
          <w:rFonts w:hint="eastAsia" w:ascii="仿宋_GB2312" w:hAnsi="仿宋_GB2312" w:eastAsia="仿宋_GB2312" w:cs="仿宋_GB2312"/>
          <w:b w:val="0"/>
          <w:bCs/>
          <w:color w:val="auto"/>
          <w:sz w:val="32"/>
          <w:szCs w:val="32"/>
          <w:highlight w:val="none"/>
        </w:rPr>
        <w:t>（类）行政事业单位养老支出（款） 机关事业单位基本养老保险缴费支出（项）: 支出决算为</w:t>
      </w:r>
      <w:r>
        <w:rPr>
          <w:rStyle w:val="14"/>
          <w:rFonts w:hint="eastAsia" w:ascii="仿宋_GB2312" w:hAnsi="仿宋_GB2312" w:eastAsia="仿宋_GB2312" w:cs="仿宋_GB2312"/>
          <w:b w:val="0"/>
          <w:bCs/>
          <w:color w:val="auto"/>
          <w:sz w:val="32"/>
          <w:szCs w:val="32"/>
          <w:highlight w:val="none"/>
          <w:lang w:val="en-US" w:eastAsia="zh-CN"/>
        </w:rPr>
        <w:t>25.28</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widowControl w:val="0"/>
        <w:shd w:val="clear" w:color="040000" w:fill="auto"/>
        <w:wordWrap/>
        <w:adjustRightInd/>
        <w:spacing w:line="576" w:lineRule="exact"/>
        <w:ind w:firstLine="640" w:firstLineChars="200"/>
        <w:textAlignment w:val="auto"/>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lang w:val="en-US" w:eastAsia="zh-CN"/>
        </w:rPr>
        <w:t>2</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Fonts w:hint="eastAsia" w:ascii="仿宋_GB2312" w:hAnsi="仿宋_GB2312" w:eastAsia="仿宋_GB2312" w:cs="仿宋_GB2312"/>
          <w:b w:val="0"/>
          <w:bCs/>
          <w:color w:val="auto"/>
          <w:sz w:val="32"/>
          <w:szCs w:val="32"/>
          <w:highlight w:val="none"/>
          <w:lang w:eastAsia="zh-CN"/>
        </w:rPr>
        <w:t>支出</w:t>
      </w:r>
      <w:r>
        <w:rPr>
          <w:rStyle w:val="14"/>
          <w:rFonts w:hint="eastAsia" w:ascii="仿宋_GB2312" w:hAnsi="仿宋_GB2312" w:eastAsia="仿宋_GB2312" w:cs="仿宋_GB2312"/>
          <w:b w:val="0"/>
          <w:bCs/>
          <w:color w:val="auto"/>
          <w:sz w:val="32"/>
          <w:szCs w:val="32"/>
          <w:highlight w:val="none"/>
        </w:rPr>
        <w:t>（类）行政事业单位医疗（款）事业单位医疗（项）:支出决算为</w:t>
      </w:r>
      <w:r>
        <w:rPr>
          <w:rStyle w:val="14"/>
          <w:rFonts w:hint="eastAsia" w:ascii="仿宋_GB2312" w:hAnsi="仿宋_GB2312" w:eastAsia="仿宋_GB2312" w:cs="仿宋_GB2312"/>
          <w:b w:val="0"/>
          <w:bCs/>
          <w:color w:val="auto"/>
          <w:sz w:val="32"/>
          <w:szCs w:val="32"/>
          <w:highlight w:val="none"/>
          <w:lang w:val="en-US" w:eastAsia="zh-CN"/>
        </w:rPr>
        <w:t>13.37</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widowControl w:val="0"/>
        <w:shd w:val="clear" w:color="040000" w:fill="auto"/>
        <w:wordWrap/>
        <w:adjustRightInd/>
        <w:snapToGrid/>
        <w:spacing w:line="576" w:lineRule="exact"/>
        <w:ind w:firstLine="640" w:firstLineChars="200"/>
        <w:textAlignment w:val="auto"/>
        <w:outlineLvl w:val="1"/>
        <w:rPr>
          <w:rFonts w:hint="eastAsia" w:ascii="仿宋_GB2312" w:hAnsi="仿宋_GB2312" w:eastAsia="仿宋_GB2312" w:cs="仿宋_GB2312"/>
          <w:b w:val="0"/>
          <w:bCs/>
          <w:color w:val="auto"/>
          <w:kern w:val="0"/>
          <w:sz w:val="32"/>
          <w:szCs w:val="32"/>
          <w:highlight w:val="none"/>
          <w:lang w:val="en-US" w:eastAsia="zh-CN" w:bidi="ar-SA"/>
        </w:rPr>
      </w:pPr>
      <w:bookmarkStart w:id="58" w:name="_Toc25449"/>
      <w:r>
        <w:rPr>
          <w:rFonts w:hint="eastAsia" w:ascii="仿宋_GB2312" w:hAnsi="仿宋_GB2312" w:eastAsia="仿宋_GB2312" w:cs="仿宋_GB2312"/>
          <w:b w:val="0"/>
          <w:bCs/>
          <w:color w:val="auto"/>
          <w:sz w:val="32"/>
          <w:szCs w:val="32"/>
          <w:highlight w:val="none"/>
          <w:lang w:val="en-US" w:eastAsia="zh-CN"/>
        </w:rPr>
        <w:t>3.城乡社区支出（类）城乡社区管理事务（款）工程建设标准规范编制与监管（项）: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317.22</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SA"/>
        </w:rPr>
        <w:t>。</w:t>
      </w:r>
      <w:bookmarkEnd w:id="58"/>
    </w:p>
    <w:p>
      <w:pPr>
        <w:widowControl w:val="0"/>
        <w:shd w:val="clear" w:color="040000" w:fill="auto"/>
        <w:wordWrap/>
        <w:adjustRightInd/>
        <w:snapToGrid/>
        <w:spacing w:line="576" w:lineRule="exact"/>
        <w:ind w:firstLine="640" w:firstLineChars="200"/>
        <w:textAlignment w:val="auto"/>
        <w:outlineLvl w:val="1"/>
        <w:rPr>
          <w:rFonts w:hint="eastAsia" w:ascii="仿宋_GB2312" w:hAnsi="仿宋_GB2312" w:eastAsia="仿宋_GB2312" w:cs="仿宋_GB2312"/>
          <w:b w:val="0"/>
          <w:bCs/>
          <w:color w:val="auto"/>
          <w:kern w:val="0"/>
          <w:sz w:val="32"/>
          <w:szCs w:val="32"/>
          <w:highlight w:val="none"/>
          <w:lang w:val="en-US" w:eastAsia="zh-CN" w:bidi="ar-SA"/>
        </w:rPr>
      </w:pPr>
      <w:bookmarkStart w:id="59" w:name="_Toc31059"/>
      <w:r>
        <w:rPr>
          <w:rFonts w:hint="eastAsia" w:ascii="仿宋_GB2312" w:hAnsi="仿宋_GB2312" w:eastAsia="仿宋_GB2312" w:cs="仿宋_GB2312"/>
          <w:b w:val="0"/>
          <w:bCs/>
          <w:color w:val="auto"/>
          <w:sz w:val="32"/>
          <w:szCs w:val="32"/>
          <w:highlight w:val="none"/>
          <w:lang w:val="en-US" w:eastAsia="zh-CN"/>
        </w:rPr>
        <w:t>4.城乡社区支出（类）城乡社区管理事务（款）其他城乡社区管理事务支出（项）: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16.8</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SA"/>
        </w:rPr>
        <w:t>。</w:t>
      </w:r>
      <w:bookmarkEnd w:id="59"/>
    </w:p>
    <w:p>
      <w:pPr>
        <w:widowControl w:val="0"/>
        <w:shd w:val="clear" w:color="040000" w:fill="auto"/>
        <w:wordWrap/>
        <w:adjustRightInd/>
        <w:snapToGrid/>
        <w:spacing w:line="576" w:lineRule="exact"/>
        <w:ind w:firstLine="640" w:firstLineChars="200"/>
        <w:textAlignment w:val="auto"/>
        <w:outlineLvl w:val="1"/>
        <w:rPr>
          <w:rFonts w:hint="eastAsia"/>
          <w:color w:val="auto"/>
          <w:highlight w:val="none"/>
          <w:lang w:val="en-US" w:eastAsia="zh-CN"/>
        </w:rPr>
      </w:pPr>
      <w:bookmarkStart w:id="60" w:name="_Toc13366"/>
      <w:r>
        <w:rPr>
          <w:rFonts w:hint="eastAsia" w:ascii="仿宋_GB2312" w:hAnsi="仿宋_GB2312" w:eastAsia="仿宋_GB2312" w:cs="仿宋_GB2312"/>
          <w:b w:val="0"/>
          <w:bCs/>
          <w:color w:val="auto"/>
          <w:sz w:val="32"/>
          <w:szCs w:val="32"/>
          <w:highlight w:val="none"/>
          <w:lang w:val="en-US" w:eastAsia="zh-CN"/>
        </w:rPr>
        <w:t>5.城乡社区支出（类）其他城乡社区支出（款）其他城乡社区支出（项）: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15.73</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SA"/>
        </w:rPr>
        <w:t>。</w:t>
      </w:r>
      <w:bookmarkEnd w:id="60"/>
    </w:p>
    <w:p>
      <w:pPr>
        <w:pStyle w:val="2"/>
        <w:widowControl w:val="0"/>
        <w:shd w:val="clear" w:color="050000" w:fill="auto"/>
        <w:wordWrap/>
        <w:adjustRightInd/>
        <w:spacing w:line="576" w:lineRule="exact"/>
        <w:ind w:firstLine="640"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bidi="ar-SA"/>
        </w:rPr>
        <w:t>6.住房保障支出（类）住房改革支出（款） 住房公积金（项）:支出决算为46.22万元，完成预算100%</w:t>
      </w:r>
      <w:r>
        <w:rPr>
          <w:rFonts w:hint="eastAsia" w:ascii="仿宋_GB2312" w:hAnsi="仿宋_GB2312" w:eastAsia="仿宋_GB2312" w:cs="仿宋_GB2312"/>
          <w:color w:val="auto"/>
          <w:kern w:val="0"/>
          <w:sz w:val="32"/>
          <w:szCs w:val="32"/>
          <w:highlight w:val="none"/>
          <w:lang w:val="en-US" w:eastAsia="zh-CN" w:bidi="ar-SA"/>
        </w:rPr>
        <w:t>。</w:t>
      </w:r>
    </w:p>
    <w:p>
      <w:pPr>
        <w:shd w:val="clear" w:color="000000" w:fill="auto"/>
        <w:tabs>
          <w:tab w:val="right" w:pos="8306"/>
        </w:tabs>
        <w:spacing w:line="600" w:lineRule="exact"/>
        <w:ind w:firstLine="640"/>
        <w:outlineLvl w:val="1"/>
        <w:rPr>
          <w:rStyle w:val="25"/>
          <w:color w:val="auto"/>
          <w:highlight w:val="none"/>
        </w:rPr>
      </w:pPr>
      <w:bookmarkStart w:id="61" w:name="_Toc1023893021_WPSOffice_Level2"/>
      <w:bookmarkStart w:id="62" w:name="_Toc15396608"/>
      <w:bookmarkStart w:id="63" w:name="_Toc2200"/>
      <w:bookmarkStart w:id="64"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61"/>
      <w:bookmarkEnd w:id="62"/>
      <w:bookmarkEnd w:id="63"/>
      <w:bookmarkEnd w:id="64"/>
      <w:r>
        <w:rPr>
          <w:rStyle w:val="25"/>
          <w:rFonts w:ascii="黑体" w:hAnsi="黑体" w:eastAsia="黑体"/>
          <w:b w:val="0"/>
          <w:color w:val="auto"/>
          <w:highlight w:val="none"/>
        </w:rPr>
        <w:tab/>
      </w:r>
    </w:p>
    <w:p>
      <w:pPr>
        <w:shd w:val="clear" w:color="000000" w:fill="auto"/>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434.62</w:t>
      </w:r>
      <w:r>
        <w:rPr>
          <w:rFonts w:hint="eastAsia" w:ascii="仿宋_GB2312" w:hAnsi="仿宋_GB2312" w:eastAsia="仿宋_GB2312" w:cs="仿宋_GB2312"/>
          <w:color w:val="auto"/>
          <w:sz w:val="32"/>
          <w:szCs w:val="32"/>
          <w:highlight w:val="none"/>
        </w:rPr>
        <w:t>万元，其中：</w:t>
      </w:r>
    </w:p>
    <w:p>
      <w:pPr>
        <w:shd w:val="clear" w:color="000000" w:fill="auto"/>
        <w:spacing w:line="600" w:lineRule="exact"/>
        <w:ind w:firstLine="645"/>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375.98</w:t>
      </w:r>
      <w:r>
        <w:rPr>
          <w:rFonts w:hint="eastAsia" w:ascii="仿宋_GB2312" w:hAnsi="仿宋_GB2312" w:eastAsia="仿宋_GB2312" w:cs="仿宋_GB2312"/>
          <w:color w:val="auto"/>
          <w:sz w:val="32"/>
          <w:szCs w:val="32"/>
          <w:highlight w:val="none"/>
        </w:rPr>
        <w:t>万元，主要包括：基本工资、津贴补贴、奖金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其他社会保障缴费、住房公积金、其他工资福利支出、生活补助。</w:t>
      </w:r>
      <w:r>
        <w:rPr>
          <w:rFonts w:hint="eastAsia" w:ascii="仿宋_GB2312" w:hAnsi="仿宋_GB2312" w:eastAsia="仿宋_GB2312" w:cs="仿宋_GB2312"/>
          <w:color w:val="auto"/>
          <w:sz w:val="32"/>
          <w:szCs w:val="32"/>
          <w:highlight w:val="none"/>
        </w:rPr>
        <w:br/>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32.23</w:t>
      </w:r>
      <w:r>
        <w:rPr>
          <w:rFonts w:hint="eastAsia" w:ascii="仿宋_GB2312" w:hAnsi="仿宋_GB2312" w:eastAsia="仿宋_GB2312" w:cs="仿宋_GB2312"/>
          <w:color w:val="auto"/>
          <w:sz w:val="32"/>
          <w:szCs w:val="32"/>
          <w:highlight w:val="none"/>
        </w:rPr>
        <w:t>万元，主要包括：办公费、印刷费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水费、电费、物业管理费、差旅费、培训费、公务接待费、工会经费、福利费、其他交通费、其他商品和服务支出。</w:t>
      </w:r>
    </w:p>
    <w:p>
      <w:pPr>
        <w:shd w:val="clear" w:color="000000" w:fill="auto"/>
        <w:spacing w:line="600" w:lineRule="exact"/>
        <w:ind w:firstLine="640"/>
        <w:outlineLvl w:val="1"/>
        <w:rPr>
          <w:rStyle w:val="25"/>
          <w:rFonts w:ascii="黑体" w:hAnsi="黑体" w:eastAsia="黑体"/>
          <w:b w:val="0"/>
          <w:bCs w:val="0"/>
          <w:color w:val="auto"/>
          <w:highlight w:val="none"/>
        </w:rPr>
      </w:pPr>
      <w:bookmarkStart w:id="65" w:name="_Toc921910618_WPSOffice_Level2"/>
      <w:bookmarkStart w:id="66" w:name="_Toc15377215"/>
      <w:bookmarkStart w:id="67" w:name="_Toc19332"/>
      <w:bookmarkStart w:id="68" w:name="_Toc15396609"/>
      <w:r>
        <w:rPr>
          <w:rFonts w:hint="eastAsia" w:ascii="黑体" w:eastAsia="黑体"/>
          <w:b w:val="0"/>
          <w:bCs w:val="0"/>
          <w:color w:val="auto"/>
          <w:sz w:val="32"/>
          <w:szCs w:val="32"/>
          <w:highlight w:val="none"/>
        </w:rPr>
        <w:t>七、</w:t>
      </w:r>
      <w:r>
        <w:rPr>
          <w:rStyle w:val="25"/>
          <w:rFonts w:hint="eastAsia" w:ascii="黑体" w:hAnsi="黑体" w:eastAsia="黑体"/>
          <w:b w:val="0"/>
          <w:bCs w:val="0"/>
          <w:color w:val="auto"/>
          <w:highlight w:val="none"/>
        </w:rPr>
        <w:t>财政拨款“三公”经费支出决算情况说明</w:t>
      </w:r>
      <w:bookmarkEnd w:id="65"/>
      <w:bookmarkEnd w:id="66"/>
      <w:bookmarkEnd w:id="67"/>
      <w:bookmarkEnd w:id="68"/>
    </w:p>
    <w:p>
      <w:pPr>
        <w:shd w:val="clear" w:color="000000" w:fill="auto"/>
        <w:spacing w:line="600" w:lineRule="exact"/>
        <w:ind w:firstLine="640"/>
        <w:outlineLvl w:val="2"/>
        <w:rPr>
          <w:rFonts w:hint="eastAsia" w:ascii="楷体_GB2312" w:hAnsi="楷体_GB2312" w:eastAsia="楷体_GB2312" w:cs="楷体_GB2312"/>
          <w:b/>
          <w:bCs w:val="0"/>
          <w:color w:val="auto"/>
          <w:sz w:val="32"/>
          <w:szCs w:val="32"/>
          <w:highlight w:val="none"/>
        </w:rPr>
      </w:pPr>
      <w:bookmarkStart w:id="69" w:name="_Toc15377216"/>
      <w:bookmarkStart w:id="70" w:name="_Toc742695742_WPSOffice_Level3"/>
      <w:r>
        <w:rPr>
          <w:rFonts w:hint="eastAsia" w:ascii="楷体_GB2312" w:hAnsi="楷体_GB2312" w:eastAsia="楷体_GB2312" w:cs="楷体_GB2312"/>
          <w:b/>
          <w:bCs w:val="0"/>
          <w:color w:val="auto"/>
          <w:sz w:val="32"/>
          <w:szCs w:val="32"/>
          <w:highlight w:val="none"/>
        </w:rPr>
        <w:t>（一）“三公”经费财政拨款支出决算总体情况说明</w:t>
      </w:r>
      <w:bookmarkEnd w:id="69"/>
      <w:bookmarkEnd w:id="70"/>
    </w:p>
    <w:p>
      <w:pPr>
        <w:shd w:val="clear" w:color="000000" w:fill="auto"/>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0.08万元，增长100%。</w:t>
      </w:r>
      <w:r>
        <w:rPr>
          <w:rFonts w:hint="eastAsia" w:ascii="仿宋_GB2312" w:hAnsi="仿宋_GB2312" w:eastAsia="仿宋_GB2312" w:cs="仿宋_GB2312"/>
          <w:color w:val="auto"/>
          <w:sz w:val="32"/>
          <w:szCs w:val="32"/>
          <w:highlight w:val="none"/>
        </w:rPr>
        <w:t>决算数预算数持平。</w:t>
      </w:r>
    </w:p>
    <w:p>
      <w:pPr>
        <w:shd w:val="clear" w:color="000000" w:fill="auto"/>
        <w:spacing w:line="600" w:lineRule="exact"/>
        <w:ind w:firstLine="640"/>
        <w:outlineLvl w:val="2"/>
        <w:rPr>
          <w:rFonts w:ascii="仿宋" w:hAnsi="仿宋" w:eastAsia="仿宋"/>
          <w:b/>
          <w:color w:val="auto"/>
          <w:sz w:val="32"/>
          <w:szCs w:val="32"/>
          <w:highlight w:val="none"/>
        </w:rPr>
      </w:pPr>
      <w:bookmarkStart w:id="71" w:name="_Toc1750225707_WPSOffice_Level3"/>
      <w:bookmarkStart w:id="72" w:name="_Toc15377217"/>
      <w:r>
        <w:rPr>
          <w:rFonts w:hint="eastAsia" w:ascii="楷体_GB2312" w:hAnsi="楷体_GB2312" w:eastAsia="楷体_GB2312" w:cs="楷体_GB2312"/>
          <w:b/>
          <w:color w:val="auto"/>
          <w:sz w:val="32"/>
          <w:szCs w:val="32"/>
          <w:highlight w:val="none"/>
        </w:rPr>
        <w:t>（二）“三公”经费财政拨款支出决算具体情况说明</w:t>
      </w:r>
      <w:bookmarkEnd w:id="71"/>
      <w:bookmarkEnd w:id="72"/>
    </w:p>
    <w:p>
      <w:pPr>
        <w:shd w:val="clear" w:color="000000" w:fill="auto"/>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pStyle w:val="2"/>
        <w:shd w:val="clear" w:color="010000" w:fill="auto"/>
        <w:rPr>
          <w:color w:val="auto"/>
          <w:highlight w:val="none"/>
        </w:rPr>
      </w:pPr>
      <w:r>
        <w:rPr>
          <w:rFonts w:hint="eastAsia"/>
          <w:color w:val="auto"/>
          <w:highlight w:val="none"/>
          <w:lang w:val="en-US" w:eastAsia="zh-CN"/>
        </w:rPr>
        <w:t xml:space="preserve">           </w:t>
      </w:r>
      <w:r>
        <w:rPr>
          <w:rFonts w:ascii="Calibri" w:hAnsi="Calibri" w:eastAsia="宋体" w:cs="Times New Roman"/>
          <w:color w:val="auto"/>
          <w:kern w:val="0"/>
          <w:sz w:val="18"/>
          <w:szCs w:val="18"/>
          <w:highlight w:val="none"/>
          <w:lang w:val="en-US" w:eastAsia="zh-CN" w:bidi="ar-SA"/>
        </w:rPr>
        <w:pict>
          <v:shape id="图表 1" o:spid="_x0000_s1037" type="#_x0000_t75" style="height:222.8pt;width:293.4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shd w:val="clear" w:color="000000" w:fill="auto"/>
        <w:spacing w:line="600" w:lineRule="exact"/>
        <w:ind w:firstLine="1612" w:firstLineChars="504"/>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hd w:val="clear" w:color="000000" w:fill="auto"/>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全年安排因公出国（境）团组</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次，出国（境）</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人。因公出国（境）支出决算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无变化</w:t>
      </w:r>
      <w:r>
        <w:rPr>
          <w:rFonts w:hint="eastAsia" w:ascii="仿宋_GB2312" w:hAnsi="仿宋_GB2312" w:eastAsia="仿宋_GB2312" w:cs="仿宋_GB2312"/>
          <w:b w:val="0"/>
          <w:bCs/>
          <w:color w:val="auto"/>
          <w:sz w:val="32"/>
          <w:szCs w:val="32"/>
          <w:highlight w:val="none"/>
        </w:rPr>
        <w:t>。</w:t>
      </w:r>
    </w:p>
    <w:p>
      <w:pPr>
        <w:shd w:val="clear" w:color="000000" w:fill="auto"/>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2.公务用车购置及运行维护费支出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公务用车购置及运行维护费支出决算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无变化</w:t>
      </w:r>
      <w:r>
        <w:rPr>
          <w:rFonts w:hint="eastAsia" w:ascii="仿宋_GB2312" w:hAnsi="仿宋_GB2312" w:eastAsia="仿宋_GB2312" w:cs="仿宋_GB2312"/>
          <w:b w:val="0"/>
          <w:bCs/>
          <w:color w:val="auto"/>
          <w:sz w:val="32"/>
          <w:szCs w:val="32"/>
          <w:highlight w:val="none"/>
        </w:rPr>
        <w:t>。</w:t>
      </w:r>
    </w:p>
    <w:p>
      <w:pPr>
        <w:shd w:val="clear" w:color="000000" w:fill="auto"/>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其中：公务用车购置支出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万元。全年按规定更新购置公务用车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辆。截至20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年12月底，单位共有公务用车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w:t>
      </w:r>
    </w:p>
    <w:p>
      <w:pPr>
        <w:shd w:val="clear" w:color="000000" w:fill="auto"/>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shd w:val="clear" w:color="000000" w:fill="auto"/>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年增加</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万元，增长</w:t>
      </w:r>
      <w:r>
        <w:rPr>
          <w:rFonts w:hint="eastAsia" w:ascii="仿宋_GB2312" w:hAnsi="仿宋_GB2312" w:eastAsia="仿宋_GB2312" w:cs="仿宋_GB2312"/>
          <w:b w:val="0"/>
          <w:bCs/>
          <w:color w:val="auto"/>
          <w:sz w:val="32"/>
          <w:szCs w:val="32"/>
          <w:highlight w:val="none"/>
          <w:lang w:val="en-US" w:eastAsia="zh-CN"/>
        </w:rPr>
        <w:t>100</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eastAsia="zh-CN"/>
        </w:rPr>
        <w:t>根据工作需要接待</w:t>
      </w:r>
      <w:r>
        <w:rPr>
          <w:rFonts w:hint="eastAsia" w:ascii="仿宋_GB2312" w:hAnsi="仿宋_GB2312" w:eastAsia="仿宋_GB2312" w:cs="仿宋_GB2312"/>
          <w:b w:val="0"/>
          <w:bCs/>
          <w:color w:val="auto"/>
          <w:sz w:val="32"/>
          <w:szCs w:val="32"/>
          <w:highlight w:val="none"/>
          <w:lang w:val="en-US" w:eastAsia="zh-CN"/>
        </w:rPr>
        <w:t>1次</w:t>
      </w:r>
      <w:r>
        <w:rPr>
          <w:rFonts w:hint="eastAsia" w:ascii="仿宋_GB2312" w:hAnsi="仿宋_GB2312" w:eastAsia="仿宋_GB2312" w:cs="仿宋_GB2312"/>
          <w:b w:val="0"/>
          <w:bCs/>
          <w:color w:val="auto"/>
          <w:sz w:val="32"/>
          <w:szCs w:val="32"/>
          <w:highlight w:val="none"/>
        </w:rPr>
        <w:t>。其中：</w:t>
      </w:r>
    </w:p>
    <w:p>
      <w:pPr>
        <w:shd w:val="clear" w:color="000000" w:fill="auto"/>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color w:val="auto"/>
          <w:sz w:val="32"/>
          <w:szCs w:val="32"/>
          <w:highlight w:val="none"/>
          <w:lang w:eastAsia="zh-CN"/>
        </w:rPr>
        <w:t>公务接待餐费</w:t>
      </w:r>
      <w:r>
        <w:rPr>
          <w:rFonts w:hint="eastAsia" w:ascii="仿宋_GB2312" w:hAnsi="仿宋_GB2312" w:eastAsia="仿宋_GB2312" w:cs="仿宋_GB2312"/>
          <w:b w:val="0"/>
          <w:bCs/>
          <w:color w:val="auto"/>
          <w:sz w:val="32"/>
          <w:szCs w:val="32"/>
          <w:highlight w:val="none"/>
        </w:rPr>
        <w:t>。国内公务接待</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人次（不包括陪同人员），共计支出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万元，具体内容包括：</w:t>
      </w:r>
      <w:r>
        <w:rPr>
          <w:rFonts w:hint="eastAsia" w:ascii="仿宋_GB2312" w:hAnsi="仿宋_GB2312" w:eastAsia="仿宋_GB2312" w:cs="仿宋_GB2312"/>
          <w:b w:val="0"/>
          <w:bCs/>
          <w:color w:val="auto"/>
          <w:sz w:val="32"/>
          <w:szCs w:val="32"/>
          <w:highlight w:val="none"/>
          <w:lang w:eastAsia="zh-CN"/>
        </w:rPr>
        <w:t>省城镇燃气安全排查整治督导组第六组来广督导燃气工作</w:t>
      </w:r>
      <w:r>
        <w:rPr>
          <w:rFonts w:hint="eastAsia" w:ascii="仿宋_GB2312" w:hAnsi="仿宋_GB2312" w:eastAsia="仿宋_GB2312" w:cs="仿宋_GB2312"/>
          <w:b w:val="0"/>
          <w:bCs/>
          <w:color w:val="auto"/>
          <w:sz w:val="32"/>
          <w:szCs w:val="32"/>
          <w:highlight w:val="none"/>
        </w:rPr>
        <w:t>。</w:t>
      </w:r>
    </w:p>
    <w:p>
      <w:pPr>
        <w:shd w:val="clear" w:color="000000" w:fill="auto"/>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shd w:val="clear" w:color="000000" w:fill="auto"/>
        <w:spacing w:line="600" w:lineRule="exact"/>
        <w:ind w:firstLine="640"/>
        <w:outlineLvl w:val="1"/>
        <w:rPr>
          <w:rStyle w:val="25"/>
          <w:rFonts w:ascii="黑体" w:hAnsi="黑体" w:eastAsia="黑体"/>
          <w:color w:val="auto"/>
          <w:highlight w:val="none"/>
        </w:rPr>
      </w:pPr>
      <w:bookmarkStart w:id="73" w:name="_Toc15396610"/>
      <w:bookmarkStart w:id="74" w:name="_Toc15377218"/>
      <w:bookmarkStart w:id="75" w:name="_Toc5369"/>
      <w:bookmarkStart w:id="76" w:name="_Toc799185513_WPSOffice_Level2"/>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73"/>
      <w:bookmarkEnd w:id="74"/>
      <w:bookmarkEnd w:id="75"/>
      <w:bookmarkEnd w:id="76"/>
    </w:p>
    <w:p>
      <w:pPr>
        <w:shd w:val="clear" w:color="000000" w:fill="auto"/>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1186.85</w:t>
      </w:r>
      <w:r>
        <w:rPr>
          <w:rFonts w:hint="eastAsia" w:ascii="仿宋_GB2312" w:eastAsia="仿宋_GB2312"/>
          <w:color w:val="auto"/>
          <w:sz w:val="32"/>
          <w:szCs w:val="32"/>
          <w:highlight w:val="none"/>
        </w:rPr>
        <w:t>万元。</w:t>
      </w:r>
    </w:p>
    <w:p>
      <w:pPr>
        <w:shd w:val="clear" w:color="000000" w:fill="auto"/>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2022年本单位未在政府性基金预算拨款安排“三公”经费支出。</w:t>
      </w:r>
    </w:p>
    <w:p>
      <w:pPr>
        <w:numPr>
          <w:ilvl w:val="0"/>
          <w:numId w:val="3"/>
        </w:numPr>
        <w:shd w:val="clear" w:color="010000" w:fill="auto"/>
        <w:spacing w:line="600" w:lineRule="exact"/>
        <w:ind w:firstLine="640"/>
        <w:outlineLvl w:val="1"/>
        <w:rPr>
          <w:rStyle w:val="25"/>
          <w:rFonts w:ascii="黑体" w:hAnsi="黑体" w:eastAsia="黑体"/>
          <w:b w:val="0"/>
          <w:color w:val="auto"/>
          <w:highlight w:val="none"/>
        </w:rPr>
      </w:pPr>
      <w:bookmarkStart w:id="77" w:name="_Toc15377219"/>
      <w:bookmarkStart w:id="78" w:name="_Toc1751081149_WPSOffice_Level2"/>
      <w:bookmarkStart w:id="79" w:name="_Toc19100"/>
      <w:bookmarkStart w:id="80" w:name="_Toc15396611"/>
      <w:r>
        <w:rPr>
          <w:rStyle w:val="25"/>
          <w:rFonts w:hint="eastAsia" w:ascii="黑体" w:hAnsi="黑体" w:eastAsia="黑体"/>
          <w:b w:val="0"/>
          <w:color w:val="auto"/>
          <w:highlight w:val="none"/>
        </w:rPr>
        <w:t>国有资本经营预算支出决算情况说明</w:t>
      </w:r>
      <w:bookmarkEnd w:id="77"/>
      <w:bookmarkEnd w:id="78"/>
      <w:bookmarkEnd w:id="79"/>
      <w:bookmarkEnd w:id="80"/>
    </w:p>
    <w:p>
      <w:pPr>
        <w:shd w:val="clear" w:color="000000" w:fill="auto"/>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hd w:val="clear" w:color="010000" w:fill="auto"/>
        <w:spacing w:line="600" w:lineRule="exact"/>
        <w:ind w:firstLine="640"/>
        <w:outlineLvl w:val="1"/>
        <w:rPr>
          <w:rStyle w:val="25"/>
          <w:rFonts w:hint="eastAsia" w:ascii="黑体" w:hAnsi="黑体" w:eastAsia="黑体"/>
          <w:b w:val="0"/>
          <w:color w:val="auto"/>
          <w:highlight w:val="none"/>
        </w:rPr>
      </w:pPr>
      <w:bookmarkStart w:id="81" w:name="_Toc1846948875_WPSOffice_Level2"/>
      <w:bookmarkStart w:id="82" w:name="_Toc22945"/>
      <w:bookmarkStart w:id="83" w:name="_Toc15377221"/>
      <w:bookmarkStart w:id="84" w:name="_Toc15396612"/>
      <w:r>
        <w:rPr>
          <w:rStyle w:val="25"/>
          <w:rFonts w:hint="eastAsia" w:ascii="黑体" w:hAnsi="黑体" w:eastAsia="黑体"/>
          <w:b w:val="0"/>
          <w:color w:val="auto"/>
          <w:highlight w:val="none"/>
        </w:rPr>
        <w:t>其他重要事项的情况说明</w:t>
      </w:r>
      <w:bookmarkEnd w:id="81"/>
      <w:bookmarkEnd w:id="82"/>
      <w:bookmarkEnd w:id="83"/>
      <w:bookmarkEnd w:id="84"/>
    </w:p>
    <w:p>
      <w:pPr>
        <w:shd w:val="clear" w:color="000000" w:fill="auto"/>
        <w:spacing w:line="600" w:lineRule="exact"/>
        <w:ind w:firstLine="642" w:firstLineChars="200"/>
        <w:outlineLvl w:val="2"/>
        <w:rPr>
          <w:rFonts w:hint="eastAsia" w:ascii="楷体_GB2312" w:hAnsi="楷体_GB2312" w:eastAsia="楷体_GB2312" w:cs="楷体_GB2312"/>
          <w:color w:val="auto"/>
          <w:sz w:val="32"/>
          <w:szCs w:val="32"/>
          <w:highlight w:val="none"/>
        </w:rPr>
      </w:pPr>
      <w:bookmarkStart w:id="85" w:name="_Toc1280725510_WPSOffice_Level3"/>
      <w:bookmarkStart w:id="86" w:name="_Toc15377222"/>
      <w:r>
        <w:rPr>
          <w:rFonts w:hint="eastAsia" w:ascii="楷体_GB2312" w:hAnsi="楷体_GB2312" w:eastAsia="楷体_GB2312" w:cs="楷体_GB2312"/>
          <w:b/>
          <w:color w:val="auto"/>
          <w:sz w:val="32"/>
          <w:szCs w:val="32"/>
          <w:highlight w:val="none"/>
        </w:rPr>
        <w:t>（一）机关运行经费支出情况</w:t>
      </w:r>
      <w:bookmarkEnd w:id="85"/>
      <w:bookmarkEnd w:id="86"/>
    </w:p>
    <w:p>
      <w:pPr>
        <w:shd w:val="clear" w:color="000000" w:fill="auto"/>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广元市城市建设事务中心未发生</w:t>
      </w:r>
      <w:r>
        <w:rPr>
          <w:rFonts w:hint="eastAsia" w:ascii="仿宋_GB2312" w:eastAsia="仿宋_GB2312"/>
          <w:color w:val="auto"/>
          <w:sz w:val="32"/>
          <w:szCs w:val="32"/>
          <w:highlight w:val="none"/>
        </w:rPr>
        <w:t>机关运行经费支出，与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w:t>
      </w:r>
    </w:p>
    <w:p>
      <w:pPr>
        <w:shd w:val="clear" w:color="000000" w:fill="auto"/>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rPr>
      </w:pPr>
      <w:bookmarkStart w:id="87" w:name="_Toc1218211953_WPSOffice_Level3"/>
      <w:bookmarkStart w:id="88" w:name="_Toc15377223"/>
      <w:r>
        <w:rPr>
          <w:rFonts w:hint="eastAsia" w:ascii="楷体_GB2312" w:hAnsi="楷体_GB2312" w:eastAsia="楷体_GB2312" w:cs="楷体_GB2312"/>
          <w:b/>
          <w:color w:val="auto"/>
          <w:sz w:val="32"/>
          <w:szCs w:val="32"/>
          <w:highlight w:val="none"/>
        </w:rPr>
        <w:t>（二）政府采购支出情况</w:t>
      </w:r>
      <w:bookmarkEnd w:id="87"/>
      <w:bookmarkEnd w:id="88"/>
    </w:p>
    <w:p>
      <w:pPr>
        <w:shd w:val="clear" w:color="000000" w:fill="auto"/>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广元市城市建设事务中心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hd w:val="clear" w:color="000000" w:fill="auto"/>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rPr>
      </w:pPr>
      <w:bookmarkStart w:id="89" w:name="_Toc15377224"/>
      <w:bookmarkStart w:id="90" w:name="_Toc1023893021_WPSOffice_Level3"/>
      <w:r>
        <w:rPr>
          <w:rFonts w:hint="eastAsia" w:ascii="楷体_GB2312" w:hAnsi="楷体_GB2312" w:eastAsia="楷体_GB2312" w:cs="楷体_GB2312"/>
          <w:b/>
          <w:color w:val="auto"/>
          <w:sz w:val="32"/>
          <w:szCs w:val="32"/>
          <w:highlight w:val="none"/>
        </w:rPr>
        <w:t>（三）国有资产占有使用情况</w:t>
      </w:r>
      <w:bookmarkEnd w:id="89"/>
      <w:bookmarkEnd w:id="90"/>
    </w:p>
    <w:p>
      <w:pPr>
        <w:shd w:val="clear" w:color="000000" w:fill="auto"/>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广元市城市建设事务中心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hd w:val="clear" w:color="000000" w:fill="auto"/>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lang w:eastAsia="zh-CN"/>
        </w:rPr>
      </w:pPr>
      <w:bookmarkStart w:id="91" w:name="_Toc921910618_WPSOffice_Level3"/>
      <w:r>
        <w:rPr>
          <w:rFonts w:hint="eastAsia" w:ascii="楷体_GB2312" w:hAnsi="楷体_GB2312" w:eastAsia="楷体_GB2312" w:cs="楷体_GB2312"/>
          <w:b/>
          <w:color w:val="auto"/>
          <w:sz w:val="32"/>
          <w:szCs w:val="32"/>
          <w:highlight w:val="none"/>
        </w:rPr>
        <w:t>（四）预算绩效管理情况</w:t>
      </w:r>
      <w:bookmarkEnd w:id="91"/>
    </w:p>
    <w:p>
      <w:pPr>
        <w:pStyle w:val="6"/>
        <w:shd w:val="clear" w:color="010000" w:fill="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081道口工作人员经费、市政巡查工作经费、托斯卡纳A区代建广场</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shd w:val="clear" w:color="010000" w:fill="auto"/>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hd w:val="clear" w:color="010000" w:fill="auto"/>
        <w:spacing w:line="600" w:lineRule="exact"/>
        <w:ind w:firstLine="660" w:firstLineChars="150"/>
        <w:jc w:val="center"/>
        <w:outlineLvl w:val="0"/>
        <w:rPr>
          <w:rStyle w:val="24"/>
          <w:rFonts w:ascii="黑体" w:hAnsi="黑体" w:eastAsia="黑体"/>
          <w:b w:val="0"/>
          <w:color w:val="auto"/>
          <w:highlight w:val="none"/>
        </w:rPr>
      </w:pPr>
      <w:bookmarkStart w:id="92" w:name="_Toc15377225"/>
      <w:bookmarkStart w:id="93" w:name="_Toc15396613"/>
      <w:bookmarkStart w:id="94" w:name="_Toc10999"/>
      <w:bookmarkStart w:id="95" w:name="_Toc706957224_WPSOffice_Level1"/>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92"/>
      <w:bookmarkEnd w:id="93"/>
      <w:bookmarkEnd w:id="94"/>
      <w:bookmarkEnd w:id="95"/>
    </w:p>
    <w:p>
      <w:pPr>
        <w:shd w:val="clear" w:color="000000" w:fill="auto"/>
        <w:spacing w:line="600" w:lineRule="exact"/>
        <w:jc w:val="left"/>
        <w:rPr>
          <w:rFonts w:ascii="宋体"/>
          <w:b/>
          <w:color w:val="auto"/>
          <w:sz w:val="44"/>
          <w:szCs w:val="44"/>
          <w:highlight w:val="none"/>
        </w:rPr>
      </w:pPr>
    </w:p>
    <w:p>
      <w:pPr>
        <w:pStyle w:val="17"/>
        <w:numPr>
          <w:ilvl w:val="0"/>
          <w:numId w:val="5"/>
        </w:numPr>
        <w:shd w:val="clear" w:color="020000" w:fill="auto"/>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pPr>
        <w:pStyle w:val="17"/>
        <w:numPr>
          <w:ilvl w:val="0"/>
          <w:numId w:val="5"/>
        </w:numPr>
        <w:shd w:val="clear" w:color="020000" w:fill="auto"/>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numPr>
          <w:ilvl w:val="0"/>
          <w:numId w:val="5"/>
        </w:numPr>
        <w:shd w:val="clear" w:color="010000" w:fill="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（类）行政事业单位养老支出（款）机关事业单位基本养老保险缴费支出（项）：指</w:t>
      </w:r>
      <w:r>
        <w:rPr>
          <w:rFonts w:hint="eastAsia" w:ascii="仿宋_GB2312" w:eastAsia="仿宋_GB2312" w:cs="仿宋_GB2312"/>
          <w:color w:val="auto"/>
          <w:sz w:val="32"/>
          <w:szCs w:val="32"/>
          <w:highlight w:val="none"/>
          <w:lang w:bidi="ar-SA"/>
        </w:rPr>
        <w:t>反映机关事业单位实施养老保险制度由单位缴纳的基本养老保险</w:t>
      </w:r>
      <w:r>
        <w:rPr>
          <w:rFonts w:hint="eastAsia" w:ascii="仿宋_GB2312" w:eastAsia="仿宋_GB2312" w:cs="仿宋_GB2312"/>
          <w:color w:val="auto"/>
          <w:sz w:val="32"/>
          <w:szCs w:val="32"/>
          <w:highlight w:val="none"/>
          <w:lang w:eastAsia="zh-CN" w:bidi="ar-SA"/>
        </w:rPr>
        <w:t>费</w:t>
      </w:r>
      <w:r>
        <w:rPr>
          <w:rFonts w:hint="eastAsia" w:ascii="仿宋_GB2312" w:eastAsia="仿宋_GB2312" w:cs="仿宋_GB2312"/>
          <w:color w:val="auto"/>
          <w:sz w:val="32"/>
          <w:szCs w:val="32"/>
          <w:highlight w:val="none"/>
          <w:lang w:bidi="ar-SA"/>
        </w:rPr>
        <w:t>支出</w:t>
      </w:r>
      <w:r>
        <w:rPr>
          <w:rFonts w:hint="eastAsia" w:ascii="仿宋_GB2312" w:eastAsia="仿宋_GB2312"/>
          <w:color w:val="auto"/>
          <w:sz w:val="32"/>
          <w:szCs w:val="32"/>
          <w:highlight w:val="none"/>
        </w:rPr>
        <w:t>。</w:t>
      </w:r>
    </w:p>
    <w:p>
      <w:pPr>
        <w:numPr>
          <w:ilvl w:val="0"/>
          <w:numId w:val="5"/>
        </w:numPr>
        <w:shd w:val="clear" w:color="010000" w:fill="auto"/>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（类）行政事业单位医疗（款）事业单位医疗（项）：</w:t>
      </w:r>
      <w:r>
        <w:rPr>
          <w:rFonts w:hint="eastAsia" w:ascii="仿宋_GB2312" w:eastAsia="仿宋_GB2312"/>
          <w:color w:val="auto"/>
          <w:sz w:val="32"/>
          <w:szCs w:val="32"/>
          <w:highlight w:val="none"/>
          <w:lang w:eastAsia="zh-CN"/>
        </w:rPr>
        <w:t>指</w:t>
      </w:r>
      <w:r>
        <w:rPr>
          <w:rFonts w:hint="eastAsia" w:ascii="仿宋_GB2312" w:eastAsia="仿宋_GB2312" w:cs="仿宋_GB2312"/>
          <w:color w:val="auto"/>
          <w:sz w:val="32"/>
          <w:szCs w:val="32"/>
          <w:highlight w:val="none"/>
          <w:lang w:bidi="ar-SA"/>
        </w:rPr>
        <w:t>反映财政部门安排的事业单位基本医疗保险缴费经费，未参加医疗保险的事业单位的公费医疗经费，按国家规定享受离休人员待遇的医疗经费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numPr>
          <w:ilvl w:val="0"/>
          <w:numId w:val="5"/>
        </w:numPr>
        <w:shd w:val="clear" w:color="010000" w:fill="auto"/>
        <w:ind w:left="0" w:leftChars="0" w:firstLine="400" w:firstLineChars="0"/>
        <w:rPr>
          <w:rStyle w:val="14"/>
          <w:rFonts w:hint="eastAsia" w:ascii="仿宋_GB2312" w:hAnsi="仿宋_GB2312" w:eastAsia="仿宋_GB2312" w:cs="仿宋_GB2312"/>
          <w:b w:val="0"/>
          <w:color w:val="auto"/>
          <w:sz w:val="32"/>
          <w:szCs w:val="32"/>
          <w:highlight w:val="none"/>
        </w:rPr>
      </w:pP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（类）城乡社区</w:t>
      </w:r>
      <w:r>
        <w:rPr>
          <w:rFonts w:hint="eastAsia" w:ascii="仿宋_GB2312" w:eastAsia="仿宋_GB2312"/>
          <w:color w:val="auto"/>
          <w:sz w:val="32"/>
          <w:szCs w:val="32"/>
          <w:highlight w:val="none"/>
          <w:lang w:eastAsia="zh-CN"/>
        </w:rPr>
        <w:t>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工程建设标准规范编制与监管（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w:t>
      </w:r>
      <w:r>
        <w:rPr>
          <w:rStyle w:val="14"/>
          <w:rFonts w:hint="eastAsia" w:ascii="仿宋_GB2312" w:eastAsia="仿宋_GB2312" w:cs="仿宋_GB2312"/>
          <w:b w:val="0"/>
          <w:color w:val="auto"/>
          <w:sz w:val="32"/>
          <w:szCs w:val="32"/>
          <w:highlight w:val="none"/>
          <w:lang w:bidi="ar-SA"/>
        </w:rPr>
        <w:t>反映</w:t>
      </w:r>
      <w:r>
        <w:rPr>
          <w:rStyle w:val="14"/>
          <w:rFonts w:hint="eastAsia" w:ascii="仿宋_GB2312" w:eastAsia="仿宋_GB2312" w:cs="仿宋_GB2312"/>
          <w:b w:val="0"/>
          <w:color w:val="auto"/>
          <w:sz w:val="32"/>
          <w:szCs w:val="32"/>
          <w:highlight w:val="none"/>
          <w:lang w:eastAsia="zh-CN" w:bidi="ar-SA"/>
        </w:rPr>
        <w:t>拟定工程建设国家标准和部管行业标准、监督指导各类工程建设标准定额的实施、管理工程造价等方面的支出</w:t>
      </w:r>
      <w:r>
        <w:rPr>
          <w:rStyle w:val="14"/>
          <w:rFonts w:hint="eastAsia" w:ascii="仿宋_GB2312" w:hAnsi="仿宋_GB2312" w:eastAsia="仿宋_GB2312" w:cs="仿宋_GB2312"/>
          <w:b w:val="0"/>
          <w:color w:val="auto"/>
          <w:sz w:val="32"/>
          <w:szCs w:val="32"/>
          <w:highlight w:val="none"/>
        </w:rPr>
        <w:t>。</w:t>
      </w:r>
    </w:p>
    <w:p>
      <w:pPr>
        <w:pStyle w:val="2"/>
        <w:widowControl w:val="0"/>
        <w:numPr>
          <w:ilvl w:val="0"/>
          <w:numId w:val="5"/>
        </w:numPr>
        <w:shd w:val="clear" w:color="060000" w:fill="auto"/>
        <w:wordWrap/>
        <w:adjustRightInd/>
        <w:snapToGrid w:val="0"/>
        <w:spacing w:line="576" w:lineRule="exact"/>
        <w:ind w:left="0" w:leftChars="0" w:firstLine="400" w:firstLineChars="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（类）城乡社区</w:t>
      </w:r>
      <w:r>
        <w:rPr>
          <w:rFonts w:hint="eastAsia" w:ascii="仿宋_GB2312" w:eastAsia="仿宋_GB2312"/>
          <w:color w:val="auto"/>
          <w:sz w:val="32"/>
          <w:szCs w:val="32"/>
          <w:highlight w:val="none"/>
          <w:lang w:eastAsia="zh-CN"/>
        </w:rPr>
        <w:t>管理事务</w:t>
      </w:r>
      <w:r>
        <w:rPr>
          <w:rFonts w:hint="eastAsia" w:ascii="仿宋_GB2312" w:eastAsia="仿宋_GB2312"/>
          <w:color w:val="auto"/>
          <w:sz w:val="32"/>
          <w:szCs w:val="32"/>
          <w:highlight w:val="none"/>
        </w:rPr>
        <w:t>（款）</w:t>
      </w:r>
      <w:r>
        <w:rPr>
          <w:rFonts w:hint="eastAsia" w:ascii="仿宋_GB2312" w:hAnsi="仿宋_GB2312" w:eastAsia="仿宋_GB2312" w:cs="仿宋_GB2312"/>
          <w:b w:val="0"/>
          <w:bCs/>
          <w:color w:val="auto"/>
          <w:sz w:val="32"/>
          <w:szCs w:val="32"/>
          <w:highlight w:val="none"/>
          <w:lang w:val="en-US" w:eastAsia="zh-CN"/>
        </w:rPr>
        <w:t>其他城乡社区管理事务支出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反映除上述项目以外其他用于城乡社区管理事务方面的支出。</w:t>
      </w:r>
    </w:p>
    <w:p>
      <w:pPr>
        <w:pStyle w:val="2"/>
        <w:widowControl w:val="0"/>
        <w:numPr>
          <w:ilvl w:val="0"/>
          <w:numId w:val="5"/>
        </w:numPr>
        <w:shd w:val="clear" w:color="060000" w:fill="auto"/>
        <w:wordWrap/>
        <w:adjustRightInd/>
        <w:snapToGrid w:val="0"/>
        <w:spacing w:line="576" w:lineRule="exact"/>
        <w:ind w:left="0" w:leftChars="0" w:firstLine="400" w:firstLineChars="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hAnsi="仿宋_GB2312" w:eastAsia="仿宋_GB2312" w:cs="仿宋_GB2312"/>
          <w:b w:val="0"/>
          <w:bCs/>
          <w:color w:val="auto"/>
          <w:sz w:val="32"/>
          <w:szCs w:val="32"/>
          <w:highlight w:val="none"/>
          <w:lang w:val="en-US" w:eastAsia="zh-CN"/>
        </w:rPr>
        <w:t>国有土地使用权出让收入安排的支出（款）其他国有土地使用权出让收入安排的支出（项）：反映土地出让收入用于其他方面支出。不包括市县级政府当年按规定用土地处入手哪个收入向中央和省级政府缴纳的 新增建设用地土地有偿使用费的支出。</w:t>
      </w:r>
    </w:p>
    <w:p>
      <w:pPr>
        <w:pStyle w:val="2"/>
        <w:widowControl w:val="0"/>
        <w:numPr>
          <w:ilvl w:val="0"/>
          <w:numId w:val="5"/>
        </w:numPr>
        <w:shd w:val="clear" w:color="060000" w:fill="auto"/>
        <w:wordWrap/>
        <w:adjustRightInd/>
        <w:snapToGrid w:val="0"/>
        <w:spacing w:line="576" w:lineRule="exact"/>
        <w:ind w:left="0" w:leftChars="0" w:firstLine="400" w:firstLineChars="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hAnsi="仿宋_GB2312" w:eastAsia="仿宋_GB2312" w:cs="仿宋_GB2312"/>
          <w:b w:val="0"/>
          <w:bCs/>
          <w:color w:val="auto"/>
          <w:sz w:val="32"/>
          <w:szCs w:val="32"/>
          <w:highlight w:val="none"/>
          <w:lang w:val="en-US" w:eastAsia="zh-CN"/>
        </w:rPr>
        <w:t>其他城乡社区支出（款）其他城乡社区支出（项）：</w:t>
      </w:r>
      <w:r>
        <w:rPr>
          <w:rFonts w:hint="eastAsia" w:ascii="仿宋_GB2312" w:eastAsia="仿宋_GB2312"/>
          <w:color w:val="auto"/>
          <w:sz w:val="32"/>
          <w:szCs w:val="32"/>
          <w:highlight w:val="none"/>
          <w:lang w:eastAsia="zh-CN"/>
        </w:rPr>
        <w:t>反映除上述项目以外其他用于城乡社区方面的支出。</w:t>
      </w:r>
    </w:p>
    <w:p>
      <w:pPr>
        <w:numPr>
          <w:ilvl w:val="0"/>
          <w:numId w:val="5"/>
        </w:numPr>
        <w:shd w:val="clear" w:color="010000" w:fill="auto"/>
        <w:spacing w:line="600" w:lineRule="exact"/>
        <w:ind w:left="0" w:leftChars="0" w:firstLine="400" w:firstLineChars="0"/>
        <w:rPr>
          <w:rFonts w:hint="eastAsia" w:ascii="仿宋" w:hAnsi="仿宋" w:eastAsia="仿宋_GB2312"/>
          <w:b/>
          <w:color w:val="auto"/>
          <w:sz w:val="32"/>
          <w:szCs w:val="32"/>
          <w:highlight w:val="none"/>
          <w:lang w:eastAsia="zh-CN"/>
        </w:rPr>
      </w:pP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（类）住房改革支出（款） 住房公积金（项）：指</w:t>
      </w:r>
      <w:r>
        <w:rPr>
          <w:rFonts w:hint="eastAsia" w:ascii="仿宋_GB2312" w:eastAsia="仿宋_GB2312" w:cs="仿宋_GB2312"/>
          <w:color w:val="auto"/>
          <w:sz w:val="32"/>
          <w:szCs w:val="32"/>
          <w:highlight w:val="none"/>
          <w:lang w:bidi="ar-SA"/>
        </w:rPr>
        <w:t>反映行政事业单位按人力资源和社会保障部、财政部规定的基本工资和津贴补贴以及规定比例为职工缴纳住房公积金</w:t>
      </w:r>
      <w:r>
        <w:rPr>
          <w:rFonts w:hint="eastAsia" w:ascii="仿宋_GB2312" w:eastAsia="仿宋_GB2312" w:cs="仿宋_GB2312"/>
          <w:color w:val="auto"/>
          <w:sz w:val="32"/>
          <w:szCs w:val="32"/>
          <w:highlight w:val="none"/>
          <w:lang w:eastAsia="zh-CN" w:bidi="ar-SA"/>
        </w:rPr>
        <w:t>。</w:t>
      </w:r>
    </w:p>
    <w:p>
      <w:pPr>
        <w:numPr>
          <w:ilvl w:val="0"/>
          <w:numId w:val="5"/>
        </w:numPr>
        <w:shd w:val="clear" w:color="010000" w:fill="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5"/>
        </w:numPr>
        <w:shd w:val="clear" w:color="010000" w:fill="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17"/>
        <w:numPr>
          <w:ilvl w:val="0"/>
          <w:numId w:val="5"/>
        </w:numPr>
        <w:shd w:val="clear" w:color="020000" w:fill="auto"/>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hint="eastAsia" w:ascii="黑体" w:hAnsi="黑体" w:eastAsia="黑体"/>
          <w:color w:val="auto"/>
          <w:sz w:val="44"/>
          <w:szCs w:val="44"/>
          <w:highlight w:val="none"/>
        </w:rPr>
      </w:pPr>
      <w:bookmarkStart w:id="96" w:name="_Toc1876036793_WPSOffice_Level1"/>
      <w:bookmarkStart w:id="97" w:name="_Toc15396614"/>
      <w:bookmarkStart w:id="98" w:name="_Toc20787"/>
      <w:bookmarkStart w:id="99" w:name="_Toc15377226"/>
      <w:r>
        <w:rPr>
          <w:rFonts w:hint="eastAsia" w:ascii="黑体" w:hAnsi="黑体" w:eastAsia="黑体"/>
          <w:color w:val="auto"/>
          <w:sz w:val="44"/>
          <w:szCs w:val="44"/>
          <w:highlight w:val="none"/>
        </w:rPr>
        <w:br w:type="page"/>
      </w:r>
    </w:p>
    <w:p>
      <w:pPr>
        <w:shd w:val="clear" w:color="000000" w:fill="auto"/>
        <w:spacing w:line="600" w:lineRule="exact"/>
        <w:jc w:val="center"/>
        <w:outlineLvl w:val="0"/>
        <w:rPr>
          <w:rStyle w:val="24"/>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96"/>
      <w:bookmarkEnd w:id="97"/>
      <w:bookmarkEnd w:id="98"/>
    </w:p>
    <w:p>
      <w:pPr>
        <w:shd w:val="clear" w:color="000000" w:fill="auto"/>
        <w:spacing w:line="600" w:lineRule="exact"/>
        <w:jc w:val="center"/>
        <w:outlineLvl w:val="1"/>
        <w:rPr>
          <w:rStyle w:val="24"/>
          <w:rFonts w:ascii="黑体" w:hAnsi="黑体" w:eastAsia="黑体"/>
          <w:b w:val="0"/>
          <w:color w:val="auto"/>
          <w:highlight w:val="none"/>
        </w:rPr>
      </w:pPr>
      <w:bookmarkStart w:id="100" w:name="_Toc1666565760_WPSOffice_Level2"/>
      <w:bookmarkStart w:id="101" w:name="_Toc3961"/>
      <w:r>
        <w:rPr>
          <w:rFonts w:hint="eastAsia" w:ascii="宋体" w:hAnsi="宋体" w:eastAsia="宋体" w:cs="宋体"/>
          <w:color w:val="auto"/>
          <w:kern w:val="0"/>
          <w:sz w:val="32"/>
          <w:szCs w:val="32"/>
          <w:highlight w:val="none"/>
          <w:lang w:val="en-US" w:eastAsia="zh-CN" w:bidi="ar-SA"/>
        </w:rPr>
        <w:t>部门预算项目支出绩效自评表（2022年度）</w:t>
      </w:r>
      <w:bookmarkEnd w:id="100"/>
      <w:bookmarkEnd w:id="101"/>
    </w:p>
    <w:tbl>
      <w:tblPr>
        <w:tblStyle w:val="16"/>
        <w:tblpPr w:leftFromText="180" w:rightFromText="180" w:vertAnchor="text" w:horzAnchor="page" w:tblpX="1718" w:tblpY="657"/>
        <w:tblOverlap w:val="never"/>
        <w:tblW w:w="9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041"/>
        <w:gridCol w:w="1223"/>
        <w:gridCol w:w="1383"/>
        <w:gridCol w:w="509"/>
        <w:gridCol w:w="763"/>
        <w:gridCol w:w="509"/>
        <w:gridCol w:w="916"/>
        <w:gridCol w:w="616"/>
        <w:gridCol w:w="616"/>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987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bookmarkStart w:id="102" w:name="_Toc15396618"/>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项目名称</w:t>
            </w:r>
          </w:p>
        </w:tc>
        <w:tc>
          <w:tcPr>
            <w:tcW w:w="815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主管部门</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广元市住房和城乡建设局部门</w:t>
            </w:r>
          </w:p>
        </w:tc>
        <w:tc>
          <w:tcPr>
            <w:tcW w:w="916" w:type="dxa"/>
            <w:tcBorders>
              <w:top w:val="nil"/>
              <w:left w:val="nil"/>
              <w:bottom w:val="nil"/>
              <w:right w:val="nil"/>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项目基本情况</w:t>
            </w:r>
          </w:p>
        </w:tc>
        <w:tc>
          <w:tcPr>
            <w:tcW w:w="10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1.项目年度目标完成情况</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项目年度目标</w:t>
            </w:r>
          </w:p>
        </w:tc>
        <w:tc>
          <w:tcPr>
            <w:tcW w:w="376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104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严格执行相关政策，保障工资及时发放、足额发放，预算编制科学合理，减少结余资金</w:t>
            </w:r>
          </w:p>
        </w:tc>
        <w:tc>
          <w:tcPr>
            <w:tcW w:w="376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确保工资按时足额发放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2.项目实施内容及过程概述</w:t>
            </w:r>
          </w:p>
        </w:tc>
        <w:tc>
          <w:tcPr>
            <w:tcW w:w="815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每月及时、足额发放工资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预算执行情况（10分）</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年度预算数（万元）</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年初预算</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调整后预算数</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预算执行数</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预算执行率</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总额</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108.94</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108.94</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108.94</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61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其中：财政资金</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108.94</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108.94</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108.94</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1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财政专户管理资金</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1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单位资金</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1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其他资金</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18"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绩效指标（90分）</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一级指标</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二级指标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三级指标</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指标性质</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指标值</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度量单位</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完成值</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22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科目调整次数</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次</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22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足额保障率</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时效指标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按时发放率</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5"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效益指标</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经济效益指标</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结余率（计算方法为：结余数/预算数）</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020"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合计</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评价结论</w:t>
            </w:r>
          </w:p>
        </w:tc>
        <w:tc>
          <w:tcPr>
            <w:tcW w:w="919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存在问题</w:t>
            </w:r>
          </w:p>
        </w:tc>
        <w:tc>
          <w:tcPr>
            <w:tcW w:w="919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改进措施</w:t>
            </w:r>
          </w:p>
        </w:tc>
        <w:tc>
          <w:tcPr>
            <w:tcW w:w="919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83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项目负责人：王朝学</w:t>
            </w:r>
          </w:p>
        </w:tc>
        <w:tc>
          <w:tcPr>
            <w:tcW w:w="5038"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财务负责人：罗映壮</w:t>
            </w:r>
          </w:p>
        </w:tc>
      </w:tr>
    </w:tbl>
    <w:tbl>
      <w:tblPr>
        <w:tblStyle w:val="16"/>
        <w:tblW w:w="9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974"/>
        <w:gridCol w:w="1133"/>
        <w:gridCol w:w="1278"/>
        <w:gridCol w:w="481"/>
        <w:gridCol w:w="717"/>
        <w:gridCol w:w="483"/>
        <w:gridCol w:w="916"/>
        <w:gridCol w:w="616"/>
        <w:gridCol w:w="616"/>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9" w:hRule="atLeast"/>
        </w:trPr>
        <w:tc>
          <w:tcPr>
            <w:tcW w:w="938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项目名称</w:t>
            </w:r>
          </w:p>
        </w:tc>
        <w:tc>
          <w:tcPr>
            <w:tcW w:w="7764"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4" w:hRule="atLeast"/>
        </w:trPr>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主管部门</w:t>
            </w:r>
          </w:p>
        </w:tc>
        <w:tc>
          <w:tcPr>
            <w:tcW w:w="409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广元市住房和城乡建设局部门</w:t>
            </w:r>
          </w:p>
        </w:tc>
        <w:tc>
          <w:tcPr>
            <w:tcW w:w="916" w:type="dxa"/>
            <w:tcBorders>
              <w:top w:val="nil"/>
              <w:left w:val="nil"/>
              <w:bottom w:val="nil"/>
              <w:right w:val="nil"/>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实施单位 （盖章）</w:t>
            </w:r>
          </w:p>
        </w:tc>
        <w:tc>
          <w:tcPr>
            <w:tcW w:w="275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trPr>
        <w:tc>
          <w:tcPr>
            <w:tcW w:w="64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项目基本情况</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1.项目年度目标完成情况</w:t>
            </w:r>
          </w:p>
        </w:tc>
        <w:tc>
          <w:tcPr>
            <w:tcW w:w="409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项目年度目标</w:t>
            </w:r>
          </w:p>
        </w:tc>
        <w:tc>
          <w:tcPr>
            <w:tcW w:w="367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2"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409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严格执行相关政策，保障工资及时发放、足额发放，预算编制科学合理，减少结余资金</w:t>
            </w:r>
          </w:p>
        </w:tc>
        <w:tc>
          <w:tcPr>
            <w:tcW w:w="3672"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eastAsia="zh-CN"/>
              </w:rPr>
              <w:t>确保退休人员基础性绩效按时足额发放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4"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2.项目实施内容及过程概述</w:t>
            </w:r>
          </w:p>
        </w:tc>
        <w:tc>
          <w:tcPr>
            <w:tcW w:w="7764"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每月按时发放退休人员基础性绩效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64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预算执行情况（10分）</w:t>
            </w: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年度预算数（万元）</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年初预算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调整后预算数</w:t>
            </w:r>
          </w:p>
        </w:tc>
        <w:tc>
          <w:tcPr>
            <w:tcW w:w="16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预算执行数</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预算执行率</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52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总额</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12.60</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12.60</w:t>
            </w:r>
          </w:p>
        </w:tc>
        <w:tc>
          <w:tcPr>
            <w:tcW w:w="16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12.60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52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其中：财政资金</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12.60</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12.60</w:t>
            </w:r>
          </w:p>
        </w:tc>
        <w:tc>
          <w:tcPr>
            <w:tcW w:w="16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12.60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52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财政专户管理资金</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6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52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单位资金</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6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52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其他资金</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6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52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64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绩效指标（90分）</w:t>
            </w: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一级指标</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二级指标</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三级指标</w:t>
            </w:r>
          </w:p>
        </w:tc>
        <w:tc>
          <w:tcPr>
            <w:tcW w:w="4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指标性质</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指标值</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度量单位</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完成值</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52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数量指标</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科目调整次数</w:t>
            </w:r>
          </w:p>
        </w:tc>
        <w:tc>
          <w:tcPr>
            <w:tcW w:w="4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次</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5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足额保障率</w:t>
            </w:r>
          </w:p>
        </w:tc>
        <w:tc>
          <w:tcPr>
            <w:tcW w:w="4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5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时效指标</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按时发放率</w:t>
            </w:r>
          </w:p>
        </w:tc>
        <w:tc>
          <w:tcPr>
            <w:tcW w:w="4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5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4" w:hRule="atLeast"/>
        </w:trPr>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效益指标</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经济效益指标</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结余率（计算方法为：结余数/预算数）</w:t>
            </w:r>
          </w:p>
        </w:tc>
        <w:tc>
          <w:tcPr>
            <w:tcW w:w="48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48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5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trPr>
        <w:tc>
          <w:tcPr>
            <w:tcW w:w="6624"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合计</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152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评价结论</w:t>
            </w:r>
          </w:p>
        </w:tc>
        <w:tc>
          <w:tcPr>
            <w:tcW w:w="87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存在问题</w:t>
            </w:r>
          </w:p>
        </w:tc>
        <w:tc>
          <w:tcPr>
            <w:tcW w:w="87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改进措施</w:t>
            </w:r>
          </w:p>
        </w:tc>
        <w:tc>
          <w:tcPr>
            <w:tcW w:w="87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450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项目负责人：王朝学</w:t>
            </w:r>
          </w:p>
        </w:tc>
        <w:tc>
          <w:tcPr>
            <w:tcW w:w="487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财务负责人：罗映壮</w:t>
            </w:r>
          </w:p>
        </w:tc>
      </w:tr>
    </w:tbl>
    <w:p>
      <w:pPr>
        <w:pStyle w:val="6"/>
        <w:shd w:val="clear" w:color="010000" w:fill="auto"/>
        <w:rPr>
          <w:rFonts w:hint="eastAsia" w:ascii="仿宋_GB2312" w:hAnsi="Calibri" w:eastAsia="仿宋_GB2312" w:cs="仿宋"/>
          <w:color w:val="auto"/>
          <w:kern w:val="0"/>
          <w:sz w:val="32"/>
          <w:szCs w:val="32"/>
          <w:highlight w:val="none"/>
          <w:lang w:val="en-US" w:eastAsia="zh-CN" w:bidi="ar-SA"/>
        </w:rPr>
      </w:pPr>
    </w:p>
    <w:tbl>
      <w:tblPr>
        <w:tblStyle w:val="16"/>
        <w:tblW w:w="9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9"/>
        <w:gridCol w:w="6"/>
        <w:gridCol w:w="987"/>
        <w:gridCol w:w="45"/>
        <w:gridCol w:w="1107"/>
        <w:gridCol w:w="104"/>
        <w:gridCol w:w="1321"/>
        <w:gridCol w:w="116"/>
        <w:gridCol w:w="384"/>
        <w:gridCol w:w="123"/>
        <w:gridCol w:w="613"/>
        <w:gridCol w:w="149"/>
        <w:gridCol w:w="350"/>
        <w:gridCol w:w="158"/>
        <w:gridCol w:w="793"/>
        <w:gridCol w:w="35"/>
        <w:gridCol w:w="616"/>
        <w:gridCol w:w="70"/>
        <w:gridCol w:w="569"/>
        <w:gridCol w:w="84"/>
        <w:gridCol w:w="1570"/>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804" w:hRule="atLeast"/>
        </w:trPr>
        <w:tc>
          <w:tcPr>
            <w:tcW w:w="9869" w:type="dxa"/>
            <w:gridSpan w:val="2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b/>
                <w:i w:val="0"/>
                <w:color w:val="auto"/>
                <w:sz w:val="30"/>
                <w:szCs w:val="30"/>
                <w:highlight w:val="none"/>
                <w:u w:val="none"/>
              </w:rPr>
            </w:pPr>
            <w:r>
              <w:rPr>
                <w:rFonts w:hint="eastAsia" w:ascii="宋体" w:hAnsi="宋体" w:eastAsia="宋体" w:cs="宋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286" w:hRule="atLeast"/>
        </w:trPr>
        <w:tc>
          <w:tcPr>
            <w:tcW w:w="16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项目名称</w:t>
            </w:r>
          </w:p>
        </w:tc>
        <w:tc>
          <w:tcPr>
            <w:tcW w:w="8207"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512" w:hRule="atLeast"/>
        </w:trPr>
        <w:tc>
          <w:tcPr>
            <w:tcW w:w="166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主管部门</w:t>
            </w:r>
          </w:p>
        </w:tc>
        <w:tc>
          <w:tcPr>
            <w:tcW w:w="431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广元市住房和城乡建设局部门</w:t>
            </w:r>
          </w:p>
        </w:tc>
        <w:tc>
          <w:tcPr>
            <w:tcW w:w="951" w:type="dxa"/>
            <w:gridSpan w:val="2"/>
            <w:tcBorders>
              <w:top w:val="nil"/>
              <w:left w:val="nil"/>
              <w:bottom w:val="nil"/>
              <w:right w:val="nil"/>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实施单位 （盖章）</w:t>
            </w:r>
          </w:p>
        </w:tc>
        <w:tc>
          <w:tcPr>
            <w:tcW w:w="2944"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286" w:hRule="atLeast"/>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项目基本情况</w:t>
            </w:r>
          </w:p>
        </w:tc>
        <w:tc>
          <w:tcPr>
            <w:tcW w:w="99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1.项目年度目标完成情况</w:t>
            </w:r>
          </w:p>
        </w:tc>
        <w:tc>
          <w:tcPr>
            <w:tcW w:w="431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项目年度目标</w:t>
            </w:r>
          </w:p>
        </w:tc>
        <w:tc>
          <w:tcPr>
            <w:tcW w:w="389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708"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c>
          <w:tcPr>
            <w:tcW w:w="99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c>
          <w:tcPr>
            <w:tcW w:w="431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保障单位日常运转，提高预算编制质量，严格执行预算</w:t>
            </w:r>
          </w:p>
        </w:tc>
        <w:tc>
          <w:tcPr>
            <w:tcW w:w="389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eastAsia="zh-CN"/>
              </w:rPr>
              <w:t>保障单位日常运转，预算执行率</w:t>
            </w:r>
            <w:r>
              <w:rPr>
                <w:rFonts w:hint="eastAsia" w:ascii="宋体" w:hAnsi="宋体" w:cs="宋体"/>
                <w:i w:val="0"/>
                <w:color w:val="auto"/>
                <w:sz w:val="20"/>
                <w:szCs w:val="20"/>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693"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2.项目实施内容及过程概述</w:t>
            </w:r>
          </w:p>
        </w:tc>
        <w:tc>
          <w:tcPr>
            <w:tcW w:w="8207"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r>
              <w:rPr>
                <w:rFonts w:hint="eastAsia" w:ascii="宋体" w:hAnsi="宋体" w:cs="宋体"/>
                <w:i w:val="0"/>
                <w:color w:val="auto"/>
                <w:sz w:val="20"/>
                <w:szCs w:val="20"/>
                <w:highlight w:val="none"/>
                <w:u w:val="none"/>
                <w:lang w:eastAsia="zh-CN"/>
              </w:rPr>
              <w:t>严格执行相关政策及标准，按照过“紧日子”要求厉行节约，保障单位党建活动开展及职工各项福利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61" w:hRule="atLeast"/>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预算执行情况（10分）</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年度预算数（万元）</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年初预算</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调整后预算数</w:t>
            </w:r>
          </w:p>
        </w:tc>
        <w:tc>
          <w:tcPr>
            <w:tcW w:w="173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预算执行数</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预算执行率</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87"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总额</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9.31</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9.31</w:t>
            </w:r>
          </w:p>
        </w:tc>
        <w:tc>
          <w:tcPr>
            <w:tcW w:w="173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9.31</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32"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其中：财政资金</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9.31</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9.31</w:t>
            </w:r>
          </w:p>
        </w:tc>
        <w:tc>
          <w:tcPr>
            <w:tcW w:w="173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9.31</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47"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财政专户管理资金</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3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02"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单位资金</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3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79"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其他资金</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173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52" w:hRule="atLeast"/>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绩效指标（90分）</w:t>
            </w:r>
          </w:p>
        </w:tc>
        <w:tc>
          <w:tcPr>
            <w:tcW w:w="99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一级指标</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二级指标</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三级指标</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指标性质</w:t>
            </w:r>
          </w:p>
        </w:tc>
        <w:tc>
          <w:tcPr>
            <w:tcW w:w="7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指标值</w:t>
            </w:r>
          </w:p>
        </w:tc>
        <w:tc>
          <w:tcPr>
            <w:tcW w:w="4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度量单位</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完成值</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产出指标</w:t>
            </w: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数量指标</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科目调整次数</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4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次</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22.5</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22.5</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678"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115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质量指标</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预算编制准确率（计算方法为：∣（执行数-预算数）/预算数∣）</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5</w:t>
            </w:r>
          </w:p>
        </w:tc>
        <w:tc>
          <w:tcPr>
            <w:tcW w:w="4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22.5</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22.5</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904"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效益指标</w:t>
            </w:r>
          </w:p>
        </w:tc>
        <w:tc>
          <w:tcPr>
            <w:tcW w:w="115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经济效益指标</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“三公”经费控制率[计算方法为：（三公经费实际支出数/预算安排数]×100%）</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w:t>
            </w:r>
          </w:p>
        </w:tc>
        <w:tc>
          <w:tcPr>
            <w:tcW w:w="4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22.5</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22.5</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339" w:hRule="atLeast"/>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99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115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运转保障率</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w:t>
            </w:r>
          </w:p>
        </w:tc>
        <w:tc>
          <w:tcPr>
            <w:tcW w:w="4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95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22.5</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22.5</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286" w:hRule="atLeast"/>
        </w:trPr>
        <w:tc>
          <w:tcPr>
            <w:tcW w:w="6925"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合计</w:t>
            </w:r>
          </w:p>
        </w:tc>
        <w:tc>
          <w:tcPr>
            <w:tcW w:w="72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88"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评价结论</w:t>
            </w:r>
          </w:p>
        </w:tc>
        <w:tc>
          <w:tcPr>
            <w:tcW w:w="9200" w:type="dxa"/>
            <w:gridSpan w:val="2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该项目较好的完成了年度目标任务。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472"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存在问题</w:t>
            </w:r>
          </w:p>
        </w:tc>
        <w:tc>
          <w:tcPr>
            <w:tcW w:w="9200" w:type="dxa"/>
            <w:gridSpan w:val="2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518" w:hRule="atLeast"/>
        </w:trPr>
        <w:tc>
          <w:tcPr>
            <w:tcW w:w="66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改进措施</w:t>
            </w:r>
          </w:p>
        </w:tc>
        <w:tc>
          <w:tcPr>
            <w:tcW w:w="9200" w:type="dxa"/>
            <w:gridSpan w:val="2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 w:type="dxa"/>
          <w:trHeight w:val="286" w:hRule="atLeast"/>
        </w:trPr>
        <w:tc>
          <w:tcPr>
            <w:tcW w:w="473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项目负责人：</w:t>
            </w:r>
            <w:r>
              <w:rPr>
                <w:rFonts w:hint="eastAsia" w:ascii="宋体" w:hAnsi="宋体" w:cs="宋体"/>
                <w:i w:val="0"/>
                <w:color w:val="auto"/>
                <w:kern w:val="0"/>
                <w:sz w:val="20"/>
                <w:szCs w:val="20"/>
                <w:highlight w:val="none"/>
                <w:u w:val="none"/>
                <w:lang w:val="en-US" w:eastAsia="zh-CN"/>
              </w:rPr>
              <w:t>王朝学</w:t>
            </w:r>
          </w:p>
        </w:tc>
        <w:tc>
          <w:tcPr>
            <w:tcW w:w="513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财务负责人：</w:t>
            </w:r>
            <w:r>
              <w:rPr>
                <w:rFonts w:hint="eastAsia" w:ascii="宋体" w:hAnsi="宋体" w:cs="宋体"/>
                <w:i w:val="0"/>
                <w:color w:val="auto"/>
                <w:kern w:val="0"/>
                <w:sz w:val="20"/>
                <w:szCs w:val="20"/>
                <w:highlight w:val="none"/>
                <w:u w:val="none"/>
                <w:lang w:val="en-US" w:eastAsia="zh-CN"/>
              </w:rPr>
              <w:t>罗映壮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9872" w:type="dxa"/>
            <w:gridSpan w:val="2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170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项目名称</w:t>
            </w:r>
          </w:p>
        </w:tc>
        <w:tc>
          <w:tcPr>
            <w:tcW w:w="8165"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07"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主管部门</w:t>
            </w:r>
          </w:p>
        </w:tc>
        <w:tc>
          <w:tcPr>
            <w:tcW w:w="4425"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广元市住房和城乡建设局部门</w:t>
            </w:r>
          </w:p>
        </w:tc>
        <w:tc>
          <w:tcPr>
            <w:tcW w:w="828" w:type="dxa"/>
            <w:gridSpan w:val="2"/>
            <w:tcBorders>
              <w:top w:val="nil"/>
              <w:left w:val="nil"/>
              <w:bottom w:val="nil"/>
              <w:right w:val="nil"/>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实施单位 （盖章）</w:t>
            </w:r>
          </w:p>
        </w:tc>
        <w:tc>
          <w:tcPr>
            <w:tcW w:w="291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67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项目基本情况</w:t>
            </w:r>
          </w:p>
        </w:tc>
        <w:tc>
          <w:tcPr>
            <w:tcW w:w="103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1.项目年度目标完成情况</w:t>
            </w:r>
          </w:p>
        </w:tc>
        <w:tc>
          <w:tcPr>
            <w:tcW w:w="4425"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项目年度目标</w:t>
            </w:r>
          </w:p>
        </w:tc>
        <w:tc>
          <w:tcPr>
            <w:tcW w:w="3740"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c>
          <w:tcPr>
            <w:tcW w:w="10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c>
          <w:tcPr>
            <w:tcW w:w="4425"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严格执行相关政策，保障工资及时发放、足额发放，预算编制科学合理，减少结余资金</w:t>
            </w:r>
          </w:p>
        </w:tc>
        <w:tc>
          <w:tcPr>
            <w:tcW w:w="3740"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eastAsia="zh-CN"/>
              </w:rPr>
              <w:t>确保工资按时足额发放、保险等按时缴纳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2.项目实施内容及过程概述</w:t>
            </w:r>
          </w:p>
        </w:tc>
        <w:tc>
          <w:tcPr>
            <w:tcW w:w="8165"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每月及时发放工资、按时缴纳各类保险和公积金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7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预算执行情况（10分）</w:t>
            </w: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年度预算数（万元）</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年初预算</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调整后预算数</w:t>
            </w:r>
          </w:p>
        </w:tc>
        <w:tc>
          <w:tcPr>
            <w:tcW w:w="177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预算执行数</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预算执行率</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总额</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156.06</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231.71</w:t>
            </w:r>
          </w:p>
        </w:tc>
        <w:tc>
          <w:tcPr>
            <w:tcW w:w="177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220.23</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95.05%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657"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eastAsia="zh-CN"/>
              </w:rPr>
              <w:t>调整数主要为：</w:t>
            </w:r>
            <w:r>
              <w:rPr>
                <w:rFonts w:hint="eastAsia" w:ascii="宋体" w:hAnsi="宋体" w:eastAsia="宋体" w:cs="宋体"/>
                <w:i w:val="0"/>
                <w:iCs w:val="0"/>
                <w:color w:val="auto"/>
                <w:sz w:val="20"/>
                <w:szCs w:val="20"/>
                <w:highlight w:val="none"/>
                <w:u w:val="none"/>
                <w:lang w:val="en-US" w:eastAsia="zh-CN"/>
              </w:rPr>
              <w:t>1.2022年基础性绩效及2021年奖励性绩效。2.基础性绩效部分养老保险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其中：财政资金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156.06</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231.71</w:t>
            </w:r>
          </w:p>
        </w:tc>
        <w:tc>
          <w:tcPr>
            <w:tcW w:w="177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220.23</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95.05%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5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财政专户管理资金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77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5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77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5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其他资金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777"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5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绩效指标（90分）</w:t>
            </w: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一级指标</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二级指标</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三级指标</w:t>
            </w: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指标性质</w:t>
            </w:r>
          </w:p>
        </w:tc>
        <w:tc>
          <w:tcPr>
            <w:tcW w:w="76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指标值</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度量单位</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完成值</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2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数量指标</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足额保障率</w:t>
            </w: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eastAsia="zh-CN"/>
              </w:rPr>
              <w:t>补缴绩效部分养老保险指标未使用，</w:t>
            </w:r>
            <w:r>
              <w:rPr>
                <w:rFonts w:hint="eastAsia" w:ascii="宋体" w:hAnsi="宋体" w:eastAsia="宋体" w:cs="宋体"/>
                <w:i w:val="0"/>
                <w:iCs w:val="0"/>
                <w:color w:val="auto"/>
                <w:sz w:val="20"/>
                <w:szCs w:val="20"/>
                <w:highlight w:val="none"/>
                <w:u w:val="none"/>
                <w:lang w:val="en-US" w:eastAsia="zh-CN"/>
              </w:rPr>
              <w:t>2023年清算后已缴纳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2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科目调整次数</w:t>
            </w: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次</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时效指标</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按时发放率</w:t>
            </w: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03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效益指标</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经济效益指标</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结余率（计算方法为：结余数/预算数）</w:t>
            </w:r>
          </w:p>
        </w:tc>
        <w:tc>
          <w:tcPr>
            <w:tcW w:w="50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6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5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82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22.5</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22.5</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960" w:type="dxa"/>
            <w:gridSpan w:val="1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合计</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评价结论</w:t>
            </w:r>
          </w:p>
        </w:tc>
        <w:tc>
          <w:tcPr>
            <w:tcW w:w="9197" w:type="dxa"/>
            <w:gridSpan w:val="2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存在问题</w:t>
            </w:r>
          </w:p>
        </w:tc>
        <w:tc>
          <w:tcPr>
            <w:tcW w:w="9197" w:type="dxa"/>
            <w:gridSpan w:val="2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7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改进措施</w:t>
            </w:r>
          </w:p>
        </w:tc>
        <w:tc>
          <w:tcPr>
            <w:tcW w:w="9197" w:type="dxa"/>
            <w:gridSpan w:val="2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trPr>
        <w:tc>
          <w:tcPr>
            <w:tcW w:w="4862"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项目负责人：王朝学</w:t>
            </w:r>
          </w:p>
        </w:tc>
        <w:tc>
          <w:tcPr>
            <w:tcW w:w="501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财务负责人：罗映壮</w:t>
            </w:r>
          </w:p>
        </w:tc>
      </w:tr>
    </w:tbl>
    <w:p>
      <w:pPr>
        <w:pStyle w:val="6"/>
        <w:shd w:val="clear" w:color="010000" w:fill="auto"/>
        <w:rPr>
          <w:rFonts w:hint="eastAsia" w:ascii="仿宋_GB2312" w:hAnsi="Calibri" w:eastAsia="仿宋_GB2312" w:cs="仿宋"/>
          <w:color w:val="auto"/>
          <w:kern w:val="0"/>
          <w:sz w:val="32"/>
          <w:szCs w:val="32"/>
          <w:highlight w:val="none"/>
          <w:lang w:val="en-US" w:eastAsia="zh-CN" w:bidi="ar-SA"/>
        </w:rPr>
      </w:pPr>
    </w:p>
    <w:tbl>
      <w:tblPr>
        <w:tblStyle w:val="16"/>
        <w:tblW w:w="9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3"/>
        <w:gridCol w:w="3"/>
        <w:gridCol w:w="1017"/>
        <w:gridCol w:w="21"/>
        <w:gridCol w:w="25"/>
        <w:gridCol w:w="1143"/>
        <w:gridCol w:w="44"/>
        <w:gridCol w:w="51"/>
        <w:gridCol w:w="1249"/>
        <w:gridCol w:w="74"/>
        <w:gridCol w:w="87"/>
        <w:gridCol w:w="347"/>
        <w:gridCol w:w="76"/>
        <w:gridCol w:w="91"/>
        <w:gridCol w:w="582"/>
        <w:gridCol w:w="94"/>
        <w:gridCol w:w="107"/>
        <w:gridCol w:w="315"/>
        <w:gridCol w:w="91"/>
        <w:gridCol w:w="107"/>
        <w:gridCol w:w="916"/>
        <w:gridCol w:w="9"/>
        <w:gridCol w:w="23"/>
        <w:gridCol w:w="490"/>
        <w:gridCol w:w="29"/>
        <w:gridCol w:w="34"/>
        <w:gridCol w:w="453"/>
        <w:gridCol w:w="33"/>
        <w:gridCol w:w="37"/>
        <w:gridCol w:w="1646"/>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620" w:hRule="atLeast"/>
        </w:trPr>
        <w:tc>
          <w:tcPr>
            <w:tcW w:w="9870" w:type="dxa"/>
            <w:gridSpan w:val="3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hint="eastAsia" w:ascii="宋体" w:hAnsi="宋体" w:eastAsia="宋体" w:cs="宋体"/>
                <w:b/>
                <w:i w:val="0"/>
                <w:color w:val="auto"/>
                <w:sz w:val="30"/>
                <w:szCs w:val="30"/>
                <w:highlight w:val="none"/>
                <w:u w:val="none"/>
              </w:rPr>
            </w:pPr>
            <w:r>
              <w:rPr>
                <w:rFonts w:hint="eastAsia" w:ascii="宋体" w:hAnsi="宋体" w:eastAsia="宋体" w:cs="宋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545" w:hRule="atLeast"/>
        </w:trPr>
        <w:tc>
          <w:tcPr>
            <w:tcW w:w="169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项目名称</w:t>
            </w:r>
          </w:p>
        </w:tc>
        <w:tc>
          <w:tcPr>
            <w:tcW w:w="8174" w:type="dxa"/>
            <w:gridSpan w:val="2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51080022T000004929330-081道口工作人员经费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40" w:hRule="atLeast"/>
        </w:trPr>
        <w:tc>
          <w:tcPr>
            <w:tcW w:w="169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主管部门</w:t>
            </w:r>
          </w:p>
        </w:tc>
        <w:tc>
          <w:tcPr>
            <w:tcW w:w="4306"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广元市住房和城乡建设局部门</w:t>
            </w:r>
          </w:p>
        </w:tc>
        <w:tc>
          <w:tcPr>
            <w:tcW w:w="1146" w:type="dxa"/>
            <w:gridSpan w:val="5"/>
            <w:tcBorders>
              <w:top w:val="nil"/>
              <w:left w:val="nil"/>
              <w:bottom w:val="nil"/>
              <w:right w:val="nil"/>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实施单位（盖章）</w:t>
            </w:r>
          </w:p>
        </w:tc>
        <w:tc>
          <w:tcPr>
            <w:tcW w:w="2722"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71" w:hRule="atLeast"/>
        </w:trPr>
        <w:tc>
          <w:tcPr>
            <w:tcW w:w="67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项目基本情况</w:t>
            </w:r>
          </w:p>
        </w:tc>
        <w:tc>
          <w:tcPr>
            <w:tcW w:w="10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1.项目年度目标完成情况</w:t>
            </w:r>
          </w:p>
        </w:tc>
        <w:tc>
          <w:tcPr>
            <w:tcW w:w="4306"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项目年度目标</w:t>
            </w:r>
          </w:p>
        </w:tc>
        <w:tc>
          <w:tcPr>
            <w:tcW w:w="386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715"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c>
          <w:tcPr>
            <w:tcW w:w="102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c>
          <w:tcPr>
            <w:tcW w:w="4306"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8人员负责081铁路道口相关工作，确保过往行人、车辆安全通行</w:t>
            </w:r>
          </w:p>
        </w:tc>
        <w:tc>
          <w:tcPr>
            <w:tcW w:w="386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完成081道口值守工作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54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2.项目实施内容及过程概述</w:t>
            </w:r>
          </w:p>
        </w:tc>
        <w:tc>
          <w:tcPr>
            <w:tcW w:w="8174" w:type="dxa"/>
            <w:gridSpan w:val="27"/>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1"/>
                <w:szCs w:val="21"/>
                <w:highlight w:val="none"/>
                <w:u w:val="none"/>
              </w:rPr>
              <w:t>081道口由广元千润有限公司进行管理，安排8名工作人员进行轮班值守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00" w:hRule="atLeast"/>
        </w:trPr>
        <w:tc>
          <w:tcPr>
            <w:tcW w:w="67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预算执行情况（10分）</w:t>
            </w: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年度预算数（万元）</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年初预算</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调整后预算数</w:t>
            </w:r>
          </w:p>
        </w:tc>
        <w:tc>
          <w:tcPr>
            <w:tcW w:w="177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预算执行数</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预算执行率</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15"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总额</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24.00</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24.00</w:t>
            </w:r>
          </w:p>
        </w:tc>
        <w:tc>
          <w:tcPr>
            <w:tcW w:w="177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24.00</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64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6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其中：财政资金</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24.00</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24.00</w:t>
            </w:r>
          </w:p>
        </w:tc>
        <w:tc>
          <w:tcPr>
            <w:tcW w:w="177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24.00</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28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财政专户管理资金</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7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85"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单位资金</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7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285"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其他资金</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77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20" w:hRule="atLeast"/>
        </w:trPr>
        <w:tc>
          <w:tcPr>
            <w:tcW w:w="67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绩效指标（90分）</w:t>
            </w: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一级指标</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二级指标</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三级指标</w:t>
            </w:r>
          </w:p>
        </w:tc>
        <w:tc>
          <w:tcPr>
            <w:tcW w:w="5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指标性质</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指标值</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度量单位</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完成值</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9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产出指标</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数量指标</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道口工作人员</w:t>
            </w:r>
          </w:p>
        </w:tc>
        <w:tc>
          <w:tcPr>
            <w:tcW w:w="5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8</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人</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20</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2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质量指标</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安全率</w:t>
            </w:r>
          </w:p>
        </w:tc>
        <w:tc>
          <w:tcPr>
            <w:tcW w:w="5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95</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2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时效指标</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完成时间</w:t>
            </w:r>
          </w:p>
        </w:tc>
        <w:tc>
          <w:tcPr>
            <w:tcW w:w="5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期/年</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24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成本指标</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道口工作人员经费</w:t>
            </w:r>
          </w:p>
        </w:tc>
        <w:tc>
          <w:tcPr>
            <w:tcW w:w="5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万元</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20</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590"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效益指标</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社会效益指标</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保障车辆安全通行</w:t>
            </w:r>
          </w:p>
        </w:tc>
        <w:tc>
          <w:tcPr>
            <w:tcW w:w="5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95</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845" w:hRule="atLeast"/>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满意度指标</w:t>
            </w:r>
          </w:p>
        </w:tc>
        <w:tc>
          <w:tcPr>
            <w:tcW w:w="118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服务对象满意度指标</w:t>
            </w:r>
          </w:p>
        </w:tc>
        <w:tc>
          <w:tcPr>
            <w:tcW w:w="134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市民满意度</w:t>
            </w:r>
          </w:p>
        </w:tc>
        <w:tc>
          <w:tcPr>
            <w:tcW w:w="50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14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20</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501" w:hRule="atLeast"/>
        </w:trPr>
        <w:tc>
          <w:tcPr>
            <w:tcW w:w="7148" w:type="dxa"/>
            <w:gridSpan w:val="2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合计</w:t>
            </w:r>
          </w:p>
        </w:tc>
        <w:tc>
          <w:tcPr>
            <w:tcW w:w="55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w:t>
            </w:r>
          </w:p>
        </w:tc>
        <w:tc>
          <w:tcPr>
            <w:tcW w:w="52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6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评价结论</w:t>
            </w:r>
          </w:p>
        </w:tc>
        <w:tc>
          <w:tcPr>
            <w:tcW w:w="9197" w:type="dxa"/>
            <w:gridSpan w:val="3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本项目保证了081道口的安全，杜绝了来往人员与车辆的安全隐患，形成良好的交通环境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2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存在问题</w:t>
            </w:r>
          </w:p>
        </w:tc>
        <w:tc>
          <w:tcPr>
            <w:tcW w:w="9197" w:type="dxa"/>
            <w:gridSpan w:val="3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8名工作人员全年工资、保险等费用共计约50余万元，财政仅补贴24万元，预算资金较低，管理水平有待提高。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4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改进措施</w:t>
            </w:r>
          </w:p>
        </w:tc>
        <w:tc>
          <w:tcPr>
            <w:tcW w:w="9197" w:type="dxa"/>
            <w:gridSpan w:val="3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加大资金保障力度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511" w:hRule="atLeast"/>
        </w:trPr>
        <w:tc>
          <w:tcPr>
            <w:tcW w:w="4737"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项目负责人：</w:t>
            </w:r>
            <w:r>
              <w:rPr>
                <w:rFonts w:hint="eastAsia" w:ascii="宋体" w:hAnsi="宋体" w:cs="宋体"/>
                <w:i w:val="0"/>
                <w:color w:val="auto"/>
                <w:kern w:val="0"/>
                <w:sz w:val="20"/>
                <w:szCs w:val="20"/>
                <w:highlight w:val="none"/>
                <w:u w:val="none"/>
                <w:lang w:val="en-US" w:eastAsia="zh-CN"/>
              </w:rPr>
              <w:t>王朝学</w:t>
            </w:r>
          </w:p>
        </w:tc>
        <w:tc>
          <w:tcPr>
            <w:tcW w:w="5133"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财务负责人：</w:t>
            </w:r>
            <w:r>
              <w:rPr>
                <w:rFonts w:hint="eastAsia" w:ascii="宋体" w:hAnsi="宋体" w:cs="宋体"/>
                <w:i w:val="0"/>
                <w:color w:val="auto"/>
                <w:kern w:val="0"/>
                <w:sz w:val="20"/>
                <w:szCs w:val="20"/>
                <w:highlight w:val="none"/>
                <w:u w:val="none"/>
                <w:lang w:val="en-US" w:eastAsia="zh-CN"/>
              </w:rPr>
              <w:t>罗映壮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9872" w:type="dxa"/>
            <w:gridSpan w:val="3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7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项目名称</w:t>
            </w:r>
          </w:p>
        </w:tc>
        <w:tc>
          <w:tcPr>
            <w:tcW w:w="8155" w:type="dxa"/>
            <w:gridSpan w:val="2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51080022T000004929680-市政巡查工作经费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1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主管部门</w:t>
            </w:r>
          </w:p>
        </w:tc>
        <w:tc>
          <w:tcPr>
            <w:tcW w:w="4376"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广元市住房和城乡建设局部门</w:t>
            </w:r>
          </w:p>
        </w:tc>
        <w:tc>
          <w:tcPr>
            <w:tcW w:w="1032" w:type="dxa"/>
            <w:gridSpan w:val="3"/>
            <w:tcBorders>
              <w:top w:val="nil"/>
              <w:left w:val="nil"/>
              <w:bottom w:val="nil"/>
              <w:right w:val="nil"/>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实施单位 （盖章）</w:t>
            </w:r>
          </w:p>
        </w:tc>
        <w:tc>
          <w:tcPr>
            <w:tcW w:w="2747"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7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项目基本情况</w:t>
            </w:r>
          </w:p>
        </w:tc>
        <w:tc>
          <w:tcPr>
            <w:tcW w:w="104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1.项目年度目标完成情况</w:t>
            </w:r>
          </w:p>
        </w:tc>
        <w:tc>
          <w:tcPr>
            <w:tcW w:w="4376"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项目年度目标</w:t>
            </w:r>
          </w:p>
        </w:tc>
        <w:tc>
          <w:tcPr>
            <w:tcW w:w="3779"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c>
          <w:tcPr>
            <w:tcW w:w="104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c>
          <w:tcPr>
            <w:tcW w:w="4376"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1.完成全年市政巡查工作。2.在汛期，对市城区20余处易涝点进行值守，确保汛期安全。3.购买巡查所需物资和防汛物资。</w:t>
            </w:r>
          </w:p>
        </w:tc>
        <w:tc>
          <w:tcPr>
            <w:tcW w:w="3779"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1.完成了全年市政巡查任务，切实保障了城市道路安全使用，整洁完好；2.顺利完成汛期防汛工作，保障了人民生命财产安全。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2.项目实施内容及过程概述</w:t>
            </w:r>
          </w:p>
        </w:tc>
        <w:tc>
          <w:tcPr>
            <w:tcW w:w="8155" w:type="dxa"/>
            <w:gridSpan w:val="27"/>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一是认真开展市城区市政道路安全隐患排查整治工作，建立日常安全隐患排查机制，督促千润公司定期开展全面巡查工作，对排查出的安全隐患按照轻重缓急的原则，及时安排处理。二是做好汛期防汛工作，发现内涝等情况及时上报和参与防汛抢险工作，保障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67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预算执行情况（10分）</w:t>
            </w: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年度预算数（万元）</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年初预算</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调整后预算数</w:t>
            </w:r>
          </w:p>
        </w:tc>
        <w:tc>
          <w:tcPr>
            <w:tcW w:w="179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预算执行数</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预算执行率</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总额</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w:t>
            </w:r>
          </w:p>
        </w:tc>
        <w:tc>
          <w:tcPr>
            <w:tcW w:w="179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68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其中：财政资金</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w:t>
            </w:r>
          </w:p>
        </w:tc>
        <w:tc>
          <w:tcPr>
            <w:tcW w:w="179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2.40</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8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财政专户管理资金</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9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8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单位资金</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9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8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其他资金</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c>
          <w:tcPr>
            <w:tcW w:w="179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8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绩效指标（90分）</w:t>
            </w: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一级指标</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二级指标</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三级指标</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指标性质</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指标值</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度量单位</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完成值</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产出指标</w:t>
            </w:r>
          </w:p>
        </w:tc>
        <w:tc>
          <w:tcPr>
            <w:tcW w:w="121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数量指标</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市城区防汛巡查点</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25</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处</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color w:val="auto"/>
                <w:sz w:val="20"/>
                <w:szCs w:val="20"/>
                <w:highlight w:val="none"/>
                <w:u w:val="none"/>
                <w:lang w:val="en-US" w:eastAsia="zh-CN"/>
              </w:rPr>
            </w:pPr>
            <w:r>
              <w:rPr>
                <w:rFonts w:hint="eastAsia" w:ascii="宋体" w:hAnsi="宋体" w:eastAsia="宋体" w:cs="宋体"/>
                <w:i w:val="0"/>
                <w:iCs/>
                <w:color w:val="auto"/>
                <w:sz w:val="20"/>
                <w:szCs w:val="20"/>
                <w:highlight w:val="none"/>
                <w:u w:val="none"/>
                <w:lang w:val="en-US" w:eastAsia="zh-CN"/>
              </w:rPr>
              <w:t>100%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市政巡查</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color w:val="auto"/>
                <w:sz w:val="20"/>
                <w:szCs w:val="20"/>
                <w:highlight w:val="none"/>
                <w:u w:val="none"/>
                <w:lang w:val="en-US" w:eastAsia="zh-CN"/>
              </w:rPr>
            </w:pPr>
            <w:r>
              <w:rPr>
                <w:rFonts w:hint="eastAsia" w:ascii="宋体" w:hAnsi="宋体" w:eastAsia="宋体" w:cs="宋体"/>
                <w:i w:val="0"/>
                <w:iCs/>
                <w:color w:val="auto"/>
                <w:sz w:val="20"/>
                <w:szCs w:val="20"/>
                <w:highlight w:val="none"/>
                <w:u w:val="none"/>
                <w:lang w:val="en-US" w:eastAsia="zh-CN"/>
              </w:rPr>
              <w:t>100%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21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安全率</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95</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color w:val="auto"/>
                <w:sz w:val="20"/>
                <w:szCs w:val="20"/>
                <w:highlight w:val="none"/>
                <w:u w:val="none"/>
                <w:lang w:val="en-US" w:eastAsia="zh-CN"/>
              </w:rPr>
            </w:pPr>
            <w:r>
              <w:rPr>
                <w:rFonts w:hint="eastAsia" w:ascii="宋体" w:hAnsi="宋体" w:eastAsia="宋体" w:cs="宋体"/>
                <w:i w:val="0"/>
                <w:iCs/>
                <w:color w:val="auto"/>
                <w:sz w:val="20"/>
                <w:szCs w:val="20"/>
                <w:highlight w:val="none"/>
                <w:u w:val="none"/>
                <w:lang w:val="en-US" w:eastAsia="zh-CN"/>
              </w:rPr>
              <w:t>100%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时效指标</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完成时间</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color w:val="auto"/>
                <w:sz w:val="20"/>
                <w:szCs w:val="20"/>
                <w:highlight w:val="none"/>
                <w:u w:val="none"/>
                <w:lang w:val="en-US" w:eastAsia="zh-CN"/>
              </w:rPr>
            </w:pPr>
            <w:r>
              <w:rPr>
                <w:rFonts w:hint="eastAsia" w:ascii="宋体" w:hAnsi="宋体" w:eastAsia="宋体" w:cs="宋体"/>
                <w:i w:val="0"/>
                <w:iCs/>
                <w:color w:val="auto"/>
                <w:sz w:val="20"/>
                <w:szCs w:val="20"/>
                <w:highlight w:val="none"/>
                <w:u w:val="none"/>
                <w:lang w:val="en-US" w:eastAsia="zh-CN"/>
              </w:rPr>
              <w:t>100%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成本指标</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巡查工作经费</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2.4</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万元</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color w:val="auto"/>
                <w:sz w:val="20"/>
                <w:szCs w:val="20"/>
                <w:highlight w:val="none"/>
                <w:u w:val="none"/>
                <w:lang w:val="en-US" w:eastAsia="zh-CN"/>
              </w:rPr>
            </w:pPr>
            <w:r>
              <w:rPr>
                <w:rFonts w:hint="eastAsia" w:ascii="宋体" w:hAnsi="宋体" w:eastAsia="宋体" w:cs="宋体"/>
                <w:i w:val="0"/>
                <w:iCs/>
                <w:color w:val="auto"/>
                <w:sz w:val="20"/>
                <w:szCs w:val="20"/>
                <w:highlight w:val="none"/>
                <w:u w:val="none"/>
                <w:lang w:val="en-US" w:eastAsia="zh-CN"/>
              </w:rPr>
              <w:t>100%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效益指标</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社会效益指标</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确保汛期安全</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95</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color w:val="auto"/>
                <w:sz w:val="20"/>
                <w:szCs w:val="20"/>
                <w:highlight w:val="none"/>
                <w:u w:val="none"/>
                <w:lang w:val="en-US" w:eastAsia="zh-CN"/>
              </w:rPr>
            </w:pPr>
            <w:r>
              <w:rPr>
                <w:rFonts w:hint="eastAsia" w:ascii="宋体" w:hAnsi="宋体" w:eastAsia="宋体" w:cs="宋体"/>
                <w:i w:val="0"/>
                <w:iCs/>
                <w:color w:val="auto"/>
                <w:sz w:val="20"/>
                <w:szCs w:val="20"/>
                <w:highlight w:val="none"/>
                <w:u w:val="none"/>
                <w:lang w:val="en-US" w:eastAsia="zh-CN"/>
              </w:rPr>
              <w:t>100%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67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color w:val="auto"/>
                <w:sz w:val="20"/>
                <w:szCs w:val="20"/>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满意度指标</w:t>
            </w:r>
          </w:p>
        </w:tc>
        <w:tc>
          <w:tcPr>
            <w:tcW w:w="121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服务对象满意度指标</w:t>
            </w:r>
          </w:p>
        </w:tc>
        <w:tc>
          <w:tcPr>
            <w:tcW w:w="137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市民满意度</w:t>
            </w:r>
          </w:p>
        </w:tc>
        <w:tc>
          <w:tcPr>
            <w:tcW w:w="5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767"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90</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0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iCs/>
                <w:color w:val="auto"/>
                <w:sz w:val="20"/>
                <w:szCs w:val="20"/>
                <w:highlight w:val="none"/>
                <w:u w:val="none"/>
                <w:lang w:val="en-US" w:eastAsia="zh-CN"/>
              </w:rPr>
            </w:pPr>
            <w:r>
              <w:rPr>
                <w:rFonts w:hint="eastAsia" w:ascii="宋体" w:hAnsi="宋体" w:eastAsia="宋体" w:cs="宋体"/>
                <w:i w:val="0"/>
                <w:iCs/>
                <w:color w:val="auto"/>
                <w:sz w:val="20"/>
                <w:szCs w:val="20"/>
                <w:highlight w:val="none"/>
                <w:u w:val="none"/>
                <w:lang w:val="en-US" w:eastAsia="zh-CN"/>
              </w:rPr>
              <w:t>100%</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7125" w:type="dxa"/>
            <w:gridSpan w:val="2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合计</w:t>
            </w:r>
          </w:p>
        </w:tc>
        <w:tc>
          <w:tcPr>
            <w:tcW w:w="54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w:t>
            </w:r>
          </w:p>
        </w:tc>
        <w:tc>
          <w:tcPr>
            <w:tcW w:w="52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100</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67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评价结论</w:t>
            </w:r>
          </w:p>
        </w:tc>
        <w:tc>
          <w:tcPr>
            <w:tcW w:w="9196" w:type="dxa"/>
            <w:gridSpan w:val="3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项目自评总分100分，确保了市城区道路、桥梁、人行下穿通道、人行天桥、隧道等市政基础设施安全使用，整洁完好，方便市民出行，满意度达到90%以上，完成了绩效目标。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67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存在问题</w:t>
            </w:r>
          </w:p>
        </w:tc>
        <w:tc>
          <w:tcPr>
            <w:tcW w:w="9196" w:type="dxa"/>
            <w:gridSpan w:val="3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绩效目标不够全面，个别指标值设定模糊。绩效目标反映的工作内容未充分体现项目预期经济社会效益。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5" w:hRule="atLeast"/>
        </w:trPr>
        <w:tc>
          <w:tcPr>
            <w:tcW w:w="67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改进措施</w:t>
            </w:r>
          </w:p>
        </w:tc>
        <w:tc>
          <w:tcPr>
            <w:tcW w:w="9196" w:type="dxa"/>
            <w:gridSpan w:val="3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1.强化项目计划编制工作，提高项目任务与预算匹配度；</w:t>
            </w:r>
            <w:r>
              <w:rPr>
                <w:rFonts w:hint="eastAsia" w:ascii="宋体" w:hAnsi="宋体" w:eastAsia="宋体" w:cs="宋体"/>
                <w:i w:val="0"/>
                <w:color w:val="auto"/>
                <w:kern w:val="0"/>
                <w:sz w:val="20"/>
                <w:szCs w:val="20"/>
                <w:highlight w:val="none"/>
                <w:u w:val="none"/>
                <w:lang w:val="en-US" w:eastAsia="zh-CN"/>
              </w:rPr>
              <w:br/>
            </w:r>
            <w:r>
              <w:rPr>
                <w:rFonts w:hint="eastAsia" w:ascii="宋体" w:hAnsi="宋体" w:eastAsia="宋体" w:cs="宋体"/>
                <w:i w:val="0"/>
                <w:color w:val="auto"/>
                <w:kern w:val="0"/>
                <w:sz w:val="20"/>
                <w:szCs w:val="20"/>
                <w:highlight w:val="none"/>
                <w:u w:val="none"/>
                <w:lang w:val="en-US" w:eastAsia="zh-CN"/>
              </w:rPr>
              <w:t>2.加强培训与研究，提高绩效目标设置科学性。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1" w:hRule="atLeast"/>
        </w:trPr>
        <w:tc>
          <w:tcPr>
            <w:tcW w:w="4813" w:type="dxa"/>
            <w:gridSpan w:val="1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项目负责人：王朝学</w:t>
            </w:r>
          </w:p>
        </w:tc>
        <w:tc>
          <w:tcPr>
            <w:tcW w:w="5059"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财务负责人：罗映壮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9872" w:type="dxa"/>
            <w:gridSpan w:val="3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trPr>
        <w:tc>
          <w:tcPr>
            <w:tcW w:w="174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项目名称</w:t>
            </w:r>
          </w:p>
        </w:tc>
        <w:tc>
          <w:tcPr>
            <w:tcW w:w="8130" w:type="dxa"/>
            <w:gridSpan w:val="2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51080022T000006949657-代管资金（城建中心）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4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主管部门</w:t>
            </w:r>
          </w:p>
        </w:tc>
        <w:tc>
          <w:tcPr>
            <w:tcW w:w="4458"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广元市住房和城乡建设局部门</w:t>
            </w:r>
          </w:p>
        </w:tc>
        <w:tc>
          <w:tcPr>
            <w:tcW w:w="916" w:type="dxa"/>
            <w:tcBorders>
              <w:top w:val="nil"/>
              <w:left w:val="nil"/>
              <w:bottom w:val="nil"/>
              <w:right w:val="nil"/>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实施单位 （盖章）</w:t>
            </w:r>
          </w:p>
        </w:tc>
        <w:tc>
          <w:tcPr>
            <w:tcW w:w="2756"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项目基本情况</w:t>
            </w:r>
          </w:p>
        </w:tc>
        <w:tc>
          <w:tcPr>
            <w:tcW w:w="106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1.项目年度目标完成情况</w:t>
            </w:r>
          </w:p>
        </w:tc>
        <w:tc>
          <w:tcPr>
            <w:tcW w:w="4458"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项目年度目标</w:t>
            </w:r>
          </w:p>
        </w:tc>
        <w:tc>
          <w:tcPr>
            <w:tcW w:w="367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10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4458"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退文印费</w:t>
            </w:r>
          </w:p>
        </w:tc>
        <w:tc>
          <w:tcPr>
            <w:tcW w:w="3672"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退文印费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2.项目实施内容及过程概述</w:t>
            </w:r>
          </w:p>
        </w:tc>
        <w:tc>
          <w:tcPr>
            <w:tcW w:w="8130" w:type="dxa"/>
            <w:gridSpan w:val="2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退回误转文印费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预算执行情况（10分）</w:t>
            </w: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年度预算数（万元）</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年初预算</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调整后预算数</w:t>
            </w:r>
          </w:p>
        </w:tc>
        <w:tc>
          <w:tcPr>
            <w:tcW w:w="181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预算执行数</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预算执行率</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总额</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0.17</w:t>
            </w:r>
          </w:p>
        </w:tc>
        <w:tc>
          <w:tcPr>
            <w:tcW w:w="181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0.17</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718"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其中：财政资金</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81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71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财政专户管理资金</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81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71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单位资金</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0.17</w:t>
            </w:r>
          </w:p>
        </w:tc>
        <w:tc>
          <w:tcPr>
            <w:tcW w:w="181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0.17</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71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其他资金</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810"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71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绩效指标（90分）</w:t>
            </w: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一级指标</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二级指标</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三级指标</w:t>
            </w:r>
          </w:p>
        </w:tc>
        <w:tc>
          <w:tcPr>
            <w:tcW w:w="51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指标性质</w:t>
            </w:r>
          </w:p>
        </w:tc>
        <w:tc>
          <w:tcPr>
            <w:tcW w:w="78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指标值</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度量单位</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完成值</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数量指标</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退还次数</w:t>
            </w:r>
          </w:p>
        </w:tc>
        <w:tc>
          <w:tcPr>
            <w:tcW w:w="51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8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次</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时效指标</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及时退还</w:t>
            </w:r>
          </w:p>
        </w:tc>
        <w:tc>
          <w:tcPr>
            <w:tcW w:w="51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定性</w:t>
            </w:r>
          </w:p>
        </w:tc>
        <w:tc>
          <w:tcPr>
            <w:tcW w:w="78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高中低</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效益指标</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社会效益指标</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社会效益</w:t>
            </w:r>
          </w:p>
        </w:tc>
        <w:tc>
          <w:tcPr>
            <w:tcW w:w="51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定性</w:t>
            </w:r>
          </w:p>
        </w:tc>
        <w:tc>
          <w:tcPr>
            <w:tcW w:w="78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好坏</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满意度指标</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服务对象满意度指标</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满意度</w:t>
            </w:r>
          </w:p>
        </w:tc>
        <w:tc>
          <w:tcPr>
            <w:tcW w:w="51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定性</w:t>
            </w:r>
          </w:p>
        </w:tc>
        <w:tc>
          <w:tcPr>
            <w:tcW w:w="78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高中低</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成本指标</w:t>
            </w:r>
          </w:p>
        </w:tc>
        <w:tc>
          <w:tcPr>
            <w:tcW w:w="1238"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社会成本指标</w:t>
            </w:r>
          </w:p>
        </w:tc>
        <w:tc>
          <w:tcPr>
            <w:tcW w:w="141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退还金额</w:t>
            </w:r>
          </w:p>
        </w:tc>
        <w:tc>
          <w:tcPr>
            <w:tcW w:w="51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78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1702</w:t>
            </w:r>
          </w:p>
        </w:tc>
        <w:tc>
          <w:tcPr>
            <w:tcW w:w="51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元</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7116" w:type="dxa"/>
            <w:gridSpan w:val="2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合计</w:t>
            </w:r>
          </w:p>
        </w:tc>
        <w:tc>
          <w:tcPr>
            <w:tcW w:w="52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51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1718"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7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评价结论</w:t>
            </w:r>
          </w:p>
        </w:tc>
        <w:tc>
          <w:tcPr>
            <w:tcW w:w="9193" w:type="dxa"/>
            <w:gridSpan w:val="2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该项目较好的完成了年度目标任务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7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存在问题</w:t>
            </w:r>
          </w:p>
        </w:tc>
        <w:tc>
          <w:tcPr>
            <w:tcW w:w="9193" w:type="dxa"/>
            <w:gridSpan w:val="2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7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改进措施</w:t>
            </w:r>
          </w:p>
        </w:tc>
        <w:tc>
          <w:tcPr>
            <w:tcW w:w="9193" w:type="dxa"/>
            <w:gridSpan w:val="2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4904"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项目负责人：王朝学</w:t>
            </w:r>
          </w:p>
        </w:tc>
        <w:tc>
          <w:tcPr>
            <w:tcW w:w="4968" w:type="dxa"/>
            <w:gridSpan w:val="1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财务负责人：罗映壮</w:t>
            </w:r>
          </w:p>
        </w:tc>
      </w:tr>
    </w:tbl>
    <w:p>
      <w:pPr>
        <w:pStyle w:val="6"/>
        <w:shd w:val="clear" w:color="010000" w:fill="auto"/>
        <w:rPr>
          <w:rFonts w:hint="eastAsia" w:ascii="仿宋_GB2312" w:hAnsi="Calibri" w:eastAsia="仿宋_GB2312" w:cs="仿宋"/>
          <w:color w:val="auto"/>
          <w:kern w:val="0"/>
          <w:sz w:val="32"/>
          <w:szCs w:val="32"/>
          <w:highlight w:val="none"/>
          <w:lang w:val="en-US" w:eastAsia="zh-CN" w:bidi="ar-SA"/>
        </w:rPr>
      </w:pPr>
    </w:p>
    <w:tbl>
      <w:tblPr>
        <w:tblStyle w:val="16"/>
        <w:tblW w:w="9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10"/>
        <w:gridCol w:w="977"/>
        <w:gridCol w:w="69"/>
        <w:gridCol w:w="1058"/>
        <w:gridCol w:w="153"/>
        <w:gridCol w:w="1231"/>
        <w:gridCol w:w="208"/>
        <w:gridCol w:w="290"/>
        <w:gridCol w:w="221"/>
        <w:gridCol w:w="795"/>
        <w:gridCol w:w="501"/>
        <w:gridCol w:w="12"/>
        <w:gridCol w:w="894"/>
        <w:gridCol w:w="22"/>
        <w:gridCol w:w="635"/>
        <w:gridCol w:w="119"/>
        <w:gridCol w:w="544"/>
        <w:gridCol w:w="1464"/>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729" w:hRule="atLeast"/>
        </w:trPr>
        <w:tc>
          <w:tcPr>
            <w:tcW w:w="9870" w:type="dxa"/>
            <w:gridSpan w:val="1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286" w:hRule="atLeast"/>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项目名称</w:t>
            </w:r>
          </w:p>
        </w:tc>
        <w:tc>
          <w:tcPr>
            <w:tcW w:w="8216" w:type="dxa"/>
            <w:gridSpan w:val="1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51080022T000007357857-托斯卡纳A区代建广场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47" w:hRule="atLeast"/>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主管部门</w:t>
            </w:r>
          </w:p>
        </w:tc>
        <w:tc>
          <w:tcPr>
            <w:tcW w:w="452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广元市住房和城乡建设局部门</w:t>
            </w:r>
          </w:p>
        </w:tc>
        <w:tc>
          <w:tcPr>
            <w:tcW w:w="906" w:type="dxa"/>
            <w:gridSpan w:val="2"/>
            <w:tcBorders>
              <w:top w:val="nil"/>
              <w:left w:val="nil"/>
              <w:bottom w:val="nil"/>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实施单位 （盖章）</w:t>
            </w:r>
          </w:p>
        </w:tc>
        <w:tc>
          <w:tcPr>
            <w:tcW w:w="278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286" w:hRule="atLeast"/>
        </w:trPr>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项目基本情况</w:t>
            </w:r>
          </w:p>
        </w:tc>
        <w:tc>
          <w:tcPr>
            <w:tcW w:w="9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1.项目年度目标完成情况</w:t>
            </w:r>
          </w:p>
        </w:tc>
        <w:tc>
          <w:tcPr>
            <w:tcW w:w="452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项目年度目标</w:t>
            </w:r>
          </w:p>
        </w:tc>
        <w:tc>
          <w:tcPr>
            <w:tcW w:w="3690"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518"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iCs w:val="0"/>
                <w:color w:val="auto"/>
                <w:sz w:val="20"/>
                <w:szCs w:val="20"/>
                <w:highlight w:val="none"/>
                <w:u w:val="none"/>
              </w:rPr>
            </w:pPr>
          </w:p>
        </w:tc>
        <w:tc>
          <w:tcPr>
            <w:tcW w:w="98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rPr>
            </w:pPr>
          </w:p>
        </w:tc>
        <w:tc>
          <w:tcPr>
            <w:tcW w:w="4526"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项目位于托斯卡纳A区，广场面积10414.87平方米，新建广场、地下车库、管理用房、钟楼人行天桥、万源大桥至湿地公园门前河边绿化及道路拓宽工程</w:t>
            </w:r>
          </w:p>
        </w:tc>
        <w:tc>
          <w:tcPr>
            <w:tcW w:w="3690"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2016年8月24日该项目竣工验收合格，新建广场面积10414.87平方米、地下车库4484.35平方米、管理用房337.5平方米、钟楼211.32平方米、人行天桥1座、万源大桥至湿地公园门前河边绿化及道路拓宽工程。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1055"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2.项目实施内容及过程概述</w:t>
            </w:r>
          </w:p>
        </w:tc>
        <w:tc>
          <w:tcPr>
            <w:tcW w:w="8216" w:type="dxa"/>
            <w:gridSpan w:val="1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根据2021年4月14日广元市审计局出具关于托斯卡纳A区代建广场项目结算审计核实情况的函（广审投函〔2021〕38号）审计评价，因该项目为《国有建设用地使用权出让合同》合同补充条款中明确由该地块受让人广元和成房地产开发有限公司代建，期间无具体的管理办法，致使项目无立项及审批资料；未对投资预算进行财政评审；未进行招标；未签订委托代建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545" w:hRule="atLeast"/>
        </w:trPr>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预算执行情况（10分）</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年度预算数（万元）</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年初预算</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调整后预算数</w:t>
            </w:r>
          </w:p>
        </w:tc>
        <w:tc>
          <w:tcPr>
            <w:tcW w:w="201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预算执行数</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预算执行率</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87"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总额</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1,186.85</w:t>
            </w:r>
          </w:p>
        </w:tc>
        <w:tc>
          <w:tcPr>
            <w:tcW w:w="201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1,186.85</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46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18"/>
                <w:szCs w:val="18"/>
                <w:highlight w:val="none"/>
                <w:u w:val="none"/>
                <w:lang w:val="en-US" w:eastAsia="zh-CN"/>
              </w:rPr>
              <w:t>年中追加预算调整为解决托斯卡纳A区代建广场资金问题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3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其中：财政资金</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1,186.85</w:t>
            </w:r>
          </w:p>
        </w:tc>
        <w:tc>
          <w:tcPr>
            <w:tcW w:w="201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1,186.85</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47"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财政专户管理资金</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201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0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单位资金</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201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79"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其他资金</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c>
          <w:tcPr>
            <w:tcW w:w="201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52" w:hRule="atLeast"/>
        </w:trPr>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绩效指标（90分）</w:t>
            </w: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一级指标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二级指标</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三级指标</w:t>
            </w:r>
          </w:p>
        </w:tc>
        <w:tc>
          <w:tcPr>
            <w:tcW w:w="49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指标性质</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指标值</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度量单位</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完成值</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5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数量指标</w:t>
            </w:r>
          </w:p>
        </w:tc>
        <w:tc>
          <w:tcPr>
            <w:tcW w:w="1384" w:type="dxa"/>
            <w:gridSpan w:val="2"/>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新建广场面积</w:t>
            </w:r>
          </w:p>
        </w:tc>
        <w:tc>
          <w:tcPr>
            <w:tcW w:w="498" w:type="dxa"/>
            <w:gridSpan w:val="2"/>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w:t>
            </w:r>
          </w:p>
        </w:tc>
        <w:tc>
          <w:tcPr>
            <w:tcW w:w="1016" w:type="dxa"/>
            <w:gridSpan w:val="2"/>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10414.87</w:t>
            </w:r>
          </w:p>
        </w:tc>
        <w:tc>
          <w:tcPr>
            <w:tcW w:w="501" w:type="dxa"/>
            <w:tcBorders>
              <w:top w:val="single" w:color="000000" w:sz="4" w:space="0"/>
              <w:left w:val="single" w:color="000000" w:sz="4" w:space="0"/>
              <w:bottom w:val="nil"/>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平方米</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4" w:type="dxa"/>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5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产出指标</w:t>
            </w:r>
          </w:p>
        </w:tc>
        <w:tc>
          <w:tcPr>
            <w:tcW w:w="1127" w:type="dxa"/>
            <w:gridSpan w:val="2"/>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数量指标</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新建地下车库面积</w:t>
            </w:r>
          </w:p>
        </w:tc>
        <w:tc>
          <w:tcPr>
            <w:tcW w:w="498" w:type="dxa"/>
            <w:gridSpan w:val="2"/>
            <w:tcBorders>
              <w:top w:val="single" w:color="000000" w:sz="4" w:space="0"/>
              <w:left w:val="nil"/>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4484.35</w:t>
            </w:r>
          </w:p>
        </w:tc>
        <w:tc>
          <w:tcPr>
            <w:tcW w:w="501" w:type="dxa"/>
            <w:tcBorders>
              <w:top w:val="single" w:color="000000" w:sz="4" w:space="0"/>
              <w:left w:val="single" w:color="000000" w:sz="4" w:space="0"/>
              <w:bottom w:val="nil"/>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平方米</w:t>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4" w:type="dxa"/>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5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产出指标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数量指标</w:t>
            </w:r>
          </w:p>
        </w:tc>
        <w:tc>
          <w:tcPr>
            <w:tcW w:w="1384" w:type="dxa"/>
            <w:gridSpan w:val="2"/>
            <w:tcBorders>
              <w:top w:val="nil"/>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新建管理房面积</w:t>
            </w:r>
          </w:p>
        </w:tc>
        <w:tc>
          <w:tcPr>
            <w:tcW w:w="498" w:type="dxa"/>
            <w:gridSpan w:val="2"/>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w:t>
            </w:r>
          </w:p>
        </w:tc>
        <w:tc>
          <w:tcPr>
            <w:tcW w:w="1016" w:type="dxa"/>
            <w:gridSpan w:val="2"/>
            <w:tcBorders>
              <w:top w:val="nil"/>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337.5</w:t>
            </w:r>
          </w:p>
        </w:tc>
        <w:tc>
          <w:tcPr>
            <w:tcW w:w="501" w:type="dxa"/>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平方米</w:t>
            </w:r>
          </w:p>
        </w:tc>
        <w:tc>
          <w:tcPr>
            <w:tcW w:w="906" w:type="dxa"/>
            <w:gridSpan w:val="2"/>
            <w:tcBorders>
              <w:top w:val="nil"/>
              <w:left w:val="single" w:color="000000" w:sz="4" w:space="0"/>
              <w:bottom w:val="single" w:color="000000" w:sz="4" w:space="0"/>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4" w:type="dxa"/>
            <w:tcBorders>
              <w:top w:val="nil"/>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5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产出指标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数量指标</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新建钟楼</w:t>
            </w:r>
          </w:p>
        </w:tc>
        <w:tc>
          <w:tcPr>
            <w:tcW w:w="498" w:type="dxa"/>
            <w:gridSpan w:val="2"/>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座</w:t>
            </w:r>
          </w:p>
        </w:tc>
        <w:tc>
          <w:tcPr>
            <w:tcW w:w="906" w:type="dxa"/>
            <w:gridSpan w:val="2"/>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5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产出指标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数量指标</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新建人行天桥</w:t>
            </w:r>
          </w:p>
        </w:tc>
        <w:tc>
          <w:tcPr>
            <w:tcW w:w="498" w:type="dxa"/>
            <w:gridSpan w:val="2"/>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座</w:t>
            </w:r>
          </w:p>
        </w:tc>
        <w:tc>
          <w:tcPr>
            <w:tcW w:w="906" w:type="dxa"/>
            <w:gridSpan w:val="2"/>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5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成本指标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经济成本指标</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建设成本</w:t>
            </w:r>
          </w:p>
        </w:tc>
        <w:tc>
          <w:tcPr>
            <w:tcW w:w="49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1186.85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万元</w:t>
            </w:r>
          </w:p>
        </w:tc>
        <w:tc>
          <w:tcPr>
            <w:tcW w:w="906" w:type="dxa"/>
            <w:gridSpan w:val="2"/>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675"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效益指标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社会效益指标</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提升城市综合能力，缓解市民休闲、活动压力</w:t>
            </w:r>
          </w:p>
        </w:tc>
        <w:tc>
          <w:tcPr>
            <w:tcW w:w="49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定性</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好</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left"/>
              <w:rPr>
                <w:rFonts w:hint="eastAsia" w:ascii="宋体" w:hAnsi="宋体" w:eastAsia="宋体" w:cs="宋体"/>
                <w:i w:val="0"/>
                <w:iCs w:val="0"/>
                <w:color w:val="auto"/>
                <w:sz w:val="20"/>
                <w:szCs w:val="20"/>
                <w:highlight w:val="none"/>
                <w:u w:val="none"/>
              </w:rPr>
            </w:pPr>
          </w:p>
        </w:tc>
        <w:tc>
          <w:tcPr>
            <w:tcW w:w="906" w:type="dxa"/>
            <w:gridSpan w:val="2"/>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iCs w:val="0"/>
                <w:color w:val="auto"/>
                <w:sz w:val="20"/>
                <w:szCs w:val="20"/>
                <w:highlight w:val="none"/>
                <w:u w:val="none"/>
              </w:rPr>
            </w:pPr>
          </w:p>
        </w:tc>
        <w:tc>
          <w:tcPr>
            <w:tcW w:w="98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满意度指标</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满意度指标</w:t>
            </w:r>
          </w:p>
        </w:tc>
        <w:tc>
          <w:tcPr>
            <w:tcW w:w="1384"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市民满意度</w:t>
            </w:r>
          </w:p>
        </w:tc>
        <w:tc>
          <w:tcPr>
            <w:tcW w:w="49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Style w:val="34"/>
                <w:rFonts w:hint="eastAsia" w:ascii="宋体" w:hAnsi="宋体" w:eastAsia="宋体" w:cs="宋体"/>
                <w:i w:val="0"/>
                <w:iCs w:val="0"/>
                <w:color w:val="auto"/>
                <w:sz w:val="20"/>
                <w:szCs w:val="20"/>
                <w:highlight w:val="none"/>
                <w:lang w:val="en-US" w:eastAsia="zh-CN"/>
              </w:rPr>
              <w:t>≥</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906" w:type="dxa"/>
            <w:gridSpan w:val="2"/>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286" w:hRule="atLeast"/>
        </w:trPr>
        <w:tc>
          <w:tcPr>
            <w:tcW w:w="7086" w:type="dxa"/>
            <w:gridSpan w:val="1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合计</w:t>
            </w:r>
          </w:p>
        </w:tc>
        <w:tc>
          <w:tcPr>
            <w:tcW w:w="776"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8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373"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评价结论</w:t>
            </w:r>
          </w:p>
        </w:tc>
        <w:tc>
          <w:tcPr>
            <w:tcW w:w="9203"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该项目较好的完成了年度目标任务，有利于提升城市综合能力，缓解市民休闲、活动压力。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650"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存在问题</w:t>
            </w:r>
          </w:p>
        </w:tc>
        <w:tc>
          <w:tcPr>
            <w:tcW w:w="9203"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根据广元市人民政府研究托斯卡纳A区广场项目代建资金有关事宜专题会议纪要（广府阅〔2022〕28号），托斯卡纳A区代建广场项目历史长、情况复杂，存在未按有关要求审批立项、未严格执行相关规定履行项目工程变更审查报批等手续、项目实施过程管理不规范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428" w:hRule="atLeast"/>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改进措施</w:t>
            </w:r>
          </w:p>
        </w:tc>
        <w:tc>
          <w:tcPr>
            <w:tcW w:w="9203"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1、相关职能部门要加强对代建工程的监督。</w:t>
            </w:r>
          </w:p>
          <w:p>
            <w:pPr>
              <w:widowControl/>
              <w:shd w:val="clear" w:color="050000" w:fill="auto"/>
              <w:wordWrap/>
              <w:adjustRightInd/>
              <w:snapToGrid/>
              <w:spacing w:line="19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2、加强对代建项目形成资产的管理。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 w:type="dxa"/>
          <w:trHeight w:val="286" w:hRule="atLeast"/>
        </w:trPr>
        <w:tc>
          <w:tcPr>
            <w:tcW w:w="4663"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项目负责人：王朝学</w:t>
            </w:r>
          </w:p>
        </w:tc>
        <w:tc>
          <w:tcPr>
            <w:tcW w:w="5207"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财务负责人：罗映壮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9872" w:type="dxa"/>
            <w:gridSpan w:val="2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72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项目名称</w:t>
            </w:r>
          </w:p>
        </w:tc>
        <w:tc>
          <w:tcPr>
            <w:tcW w:w="8149" w:type="dxa"/>
            <w:gridSpan w:val="1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2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主管部门</w:t>
            </w:r>
          </w:p>
        </w:tc>
        <w:tc>
          <w:tcPr>
            <w:tcW w:w="446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广元市住房和城乡建设局部门</w:t>
            </w:r>
          </w:p>
        </w:tc>
        <w:tc>
          <w:tcPr>
            <w:tcW w:w="916" w:type="dxa"/>
            <w:gridSpan w:val="2"/>
            <w:tcBorders>
              <w:top w:val="nil"/>
              <w:left w:val="nil"/>
              <w:bottom w:val="nil"/>
              <w:right w:val="nil"/>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实施单位 （盖章）</w:t>
            </w:r>
          </w:p>
        </w:tc>
        <w:tc>
          <w:tcPr>
            <w:tcW w:w="276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7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项目基本情况</w:t>
            </w:r>
          </w:p>
        </w:tc>
        <w:tc>
          <w:tcPr>
            <w:tcW w:w="10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1.项目年度目标完成情况</w:t>
            </w:r>
          </w:p>
        </w:tc>
        <w:tc>
          <w:tcPr>
            <w:tcW w:w="446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项目年度目标</w:t>
            </w:r>
          </w:p>
        </w:tc>
        <w:tc>
          <w:tcPr>
            <w:tcW w:w="3680"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c>
          <w:tcPr>
            <w:tcW w:w="4469"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保障单位日常运转，提高预算编制质量，严格执行预算</w:t>
            </w:r>
          </w:p>
        </w:tc>
        <w:tc>
          <w:tcPr>
            <w:tcW w:w="3680"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cs="宋体"/>
                <w:i w:val="0"/>
                <w:color w:val="auto"/>
                <w:sz w:val="20"/>
                <w:szCs w:val="20"/>
                <w:highlight w:val="none"/>
                <w:u w:val="none"/>
                <w:lang w:eastAsia="zh-CN"/>
              </w:rPr>
              <w:t>保障单位日常运转，预算执行率</w:t>
            </w:r>
            <w:r>
              <w:rPr>
                <w:rFonts w:hint="eastAsia" w:ascii="宋体" w:hAnsi="宋体" w:cs="宋体"/>
                <w:i w:val="0"/>
                <w:color w:val="auto"/>
                <w:sz w:val="20"/>
                <w:szCs w:val="20"/>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2.项目实施内容及过程概述</w:t>
            </w:r>
          </w:p>
        </w:tc>
        <w:tc>
          <w:tcPr>
            <w:tcW w:w="8149" w:type="dxa"/>
            <w:gridSpan w:val="16"/>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保障单位日常运转，严格执行预算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7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预算执行情况（10分）</w:t>
            </w: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年度预算数（万元）</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年初预算</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调整后预算数</w:t>
            </w:r>
          </w:p>
        </w:tc>
        <w:tc>
          <w:tcPr>
            <w:tcW w:w="181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预算执行数</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预算执行率</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权重</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得分</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总额</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25.20</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25.15</w:t>
            </w:r>
          </w:p>
        </w:tc>
        <w:tc>
          <w:tcPr>
            <w:tcW w:w="181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25.15</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100.00%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10</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10</w:t>
            </w:r>
          </w:p>
        </w:tc>
        <w:tc>
          <w:tcPr>
            <w:tcW w:w="14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其中：财政资金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25.20</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25.15</w:t>
            </w:r>
          </w:p>
        </w:tc>
        <w:tc>
          <w:tcPr>
            <w:tcW w:w="181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25.15</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100.00%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1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财政专户管理资金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181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1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单位资金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181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0.00%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1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其他资金</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81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1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绩效指标（90分）</w:t>
            </w: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一级指标</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二级指标</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三级指标</w:t>
            </w:r>
          </w:p>
        </w:tc>
        <w:tc>
          <w:tcPr>
            <w:tcW w:w="5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指标性质</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指标值</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度量单位</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完成值</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权重</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得分</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产出指标</w:t>
            </w: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数量指标</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科目调整次数</w:t>
            </w:r>
          </w:p>
        </w:tc>
        <w:tc>
          <w:tcPr>
            <w:tcW w:w="5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10</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次</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22.5</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22.5</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2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质量指标</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预算编制准确率（计算方法为：∣（执行数-预算数）/预算数∣）</w:t>
            </w:r>
          </w:p>
        </w:tc>
        <w:tc>
          <w:tcPr>
            <w:tcW w:w="5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5</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22.5</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22.5</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效益指标</w:t>
            </w:r>
          </w:p>
        </w:tc>
        <w:tc>
          <w:tcPr>
            <w:tcW w:w="12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经济效益指标</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运转保障率</w:t>
            </w:r>
          </w:p>
        </w:tc>
        <w:tc>
          <w:tcPr>
            <w:tcW w:w="5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100</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22.5</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22.5</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5"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2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“三公”经费控制率[计算方法为：（三公经费实际支出数/预算安排数]×100%）</w:t>
            </w:r>
          </w:p>
        </w:tc>
        <w:tc>
          <w:tcPr>
            <w:tcW w:w="51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100</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100%</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22.5</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22.5</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jc w:val="center"/>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7108" w:type="dxa"/>
            <w:gridSpan w:val="1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合计</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100</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default"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100</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00" w:lineRule="exact"/>
              <w:rPr>
                <w:rFonts w:hint="eastAsia" w:ascii="宋体" w:hAnsi="宋体" w:eastAsia="宋体" w:cs="宋体"/>
                <w:b w:val="0"/>
                <w:bCs w:val="0"/>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7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评价结论</w:t>
            </w:r>
          </w:p>
        </w:tc>
        <w:tc>
          <w:tcPr>
            <w:tcW w:w="9195"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sz w:val="20"/>
                <w:szCs w:val="20"/>
                <w:highlight w:val="none"/>
                <w:u w:val="none"/>
              </w:rPr>
              <w:t>该项目较好的完成了年度目标任务，保障了单位日常运转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7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存在问题</w:t>
            </w:r>
          </w:p>
        </w:tc>
        <w:tc>
          <w:tcPr>
            <w:tcW w:w="9195"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lang w:eastAsia="zh-CN"/>
              </w:rPr>
            </w:pPr>
            <w:r>
              <w:rPr>
                <w:rFonts w:hint="eastAsia" w:ascii="宋体" w:hAnsi="宋体" w:eastAsia="宋体" w:cs="宋体"/>
                <w:b w:val="0"/>
                <w:bCs w:val="0"/>
                <w:i w:val="0"/>
                <w:iCs w:val="0"/>
                <w:color w:val="auto"/>
                <w:sz w:val="20"/>
                <w:szCs w:val="20"/>
                <w:highlight w:val="none"/>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77"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改进措施</w:t>
            </w:r>
          </w:p>
        </w:tc>
        <w:tc>
          <w:tcPr>
            <w:tcW w:w="9195" w:type="dxa"/>
            <w:gridSpan w:val="1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488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项目负责人：王朝学</w:t>
            </w:r>
          </w:p>
        </w:tc>
        <w:tc>
          <w:tcPr>
            <w:tcW w:w="498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rPr>
              <w:t>财务负责人：罗映壮</w:t>
            </w:r>
          </w:p>
        </w:tc>
      </w:tr>
    </w:tbl>
    <w:p>
      <w:pPr>
        <w:pStyle w:val="6"/>
        <w:shd w:val="clear" w:color="010000" w:fill="auto"/>
        <w:rPr>
          <w:rFonts w:hint="eastAsia" w:ascii="宋体" w:hAnsi="宋体" w:eastAsia="宋体" w:cs="宋体"/>
          <w:i w:val="0"/>
          <w:iCs w:val="0"/>
          <w:color w:val="auto"/>
          <w:kern w:val="0"/>
          <w:sz w:val="20"/>
          <w:szCs w:val="20"/>
          <w:highlight w:val="none"/>
          <w:lang w:val="en-US" w:eastAsia="zh-CN" w:bidi="ar-SA"/>
        </w:rPr>
      </w:pPr>
    </w:p>
    <w:tbl>
      <w:tblPr>
        <w:tblStyle w:val="16"/>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043"/>
        <w:gridCol w:w="1204"/>
        <w:gridCol w:w="1375"/>
        <w:gridCol w:w="510"/>
        <w:gridCol w:w="761"/>
        <w:gridCol w:w="510"/>
        <w:gridCol w:w="916"/>
        <w:gridCol w:w="616"/>
        <w:gridCol w:w="616"/>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987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17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项目名称</w:t>
            </w:r>
          </w:p>
        </w:tc>
        <w:tc>
          <w:tcPr>
            <w:tcW w:w="815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1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主管部门</w:t>
            </w:r>
          </w:p>
        </w:tc>
        <w:tc>
          <w:tcPr>
            <w:tcW w:w="436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广元市住房和城乡建设局部门</w:t>
            </w:r>
          </w:p>
        </w:tc>
        <w:tc>
          <w:tcPr>
            <w:tcW w:w="916" w:type="dxa"/>
            <w:tcBorders>
              <w:top w:val="nil"/>
              <w:left w:val="nil"/>
              <w:bottom w:val="nil"/>
              <w:right w:val="nil"/>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实施单位 （盖章）</w:t>
            </w:r>
          </w:p>
        </w:tc>
        <w:tc>
          <w:tcPr>
            <w:tcW w:w="287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项目基本情况</w:t>
            </w:r>
          </w:p>
        </w:tc>
        <w:tc>
          <w:tcPr>
            <w:tcW w:w="104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1.项目年度目标完成情况</w:t>
            </w:r>
          </w:p>
        </w:tc>
        <w:tc>
          <w:tcPr>
            <w:tcW w:w="436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项目年度目标</w:t>
            </w:r>
          </w:p>
        </w:tc>
        <w:tc>
          <w:tcPr>
            <w:tcW w:w="379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val="0"/>
                <w:color w:val="auto"/>
                <w:sz w:val="20"/>
                <w:szCs w:val="20"/>
                <w:highlight w:val="none"/>
                <w:u w:val="none"/>
              </w:rPr>
            </w:pPr>
          </w:p>
        </w:tc>
        <w:tc>
          <w:tcPr>
            <w:tcW w:w="104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val="0"/>
                <w:color w:val="auto"/>
                <w:sz w:val="20"/>
                <w:szCs w:val="20"/>
                <w:highlight w:val="none"/>
                <w:u w:val="none"/>
              </w:rPr>
            </w:pPr>
          </w:p>
        </w:tc>
        <w:tc>
          <w:tcPr>
            <w:tcW w:w="436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严格执行相关政策，保障工资及时发放、足额发放，预算编制科学合理，减少结余资金</w:t>
            </w:r>
          </w:p>
        </w:tc>
        <w:tc>
          <w:tcPr>
            <w:tcW w:w="379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sz w:val="20"/>
                <w:szCs w:val="20"/>
                <w:highlight w:val="none"/>
                <w:u w:val="none"/>
                <w:lang w:eastAsia="zh-CN"/>
              </w:rPr>
              <w:t>确保在职人员绩效按时足额发放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2.项目实施内容及过程概述</w:t>
            </w:r>
          </w:p>
        </w:tc>
        <w:tc>
          <w:tcPr>
            <w:tcW w:w="815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及时发放在职人员绩效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预算执行情况（10分）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年度预算数（万元）</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年初预算</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调整后预算数</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预算执行数</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预算执行率</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总额</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31.39</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31.39</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64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其中：财政资金</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31.39</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31.39</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财政专户管理资金</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单位资金</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其他资金</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c>
          <w:tcPr>
            <w:tcW w:w="178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w:t>
            </w: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绩效指标（90分）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一级指标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二级指标</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三级指标</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指标性质</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指标值</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度量单位</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完成值</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得分</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产出指标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数量指标</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足额保障率</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22.5</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数量指标</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科目调整次数</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10</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次</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22.5</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时效指标</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按时发放率</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22.5</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效益指标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经济效益指标</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结余率（计算方法为：结余数/预算数）</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5</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4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rPr>
              <w:t>22.5</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4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22.5</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99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合计</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100</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8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评价结论</w:t>
            </w:r>
          </w:p>
        </w:tc>
        <w:tc>
          <w:tcPr>
            <w:tcW w:w="919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存在问题</w:t>
            </w:r>
          </w:p>
        </w:tc>
        <w:tc>
          <w:tcPr>
            <w:tcW w:w="919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color w:val="auto"/>
                <w:sz w:val="20"/>
                <w:szCs w:val="20"/>
                <w:highlight w:val="none"/>
                <w:u w:val="none"/>
              </w:rPr>
            </w:pPr>
            <w:r>
              <w:rPr>
                <w:rFonts w:hint="eastAsia" w:ascii="宋体" w:hAnsi="宋体" w:eastAsia="宋体" w:cs="宋体"/>
                <w:i/>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改进措施</w:t>
            </w:r>
          </w:p>
        </w:tc>
        <w:tc>
          <w:tcPr>
            <w:tcW w:w="919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color w:val="auto"/>
                <w:sz w:val="20"/>
                <w:szCs w:val="20"/>
                <w:highlight w:val="none"/>
                <w:u w:val="none"/>
              </w:rPr>
            </w:pPr>
            <w:r>
              <w:rPr>
                <w:rFonts w:hint="eastAsia" w:ascii="宋体" w:hAnsi="宋体" w:eastAsia="宋体" w:cs="宋体"/>
                <w:i/>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1" w:hRule="atLeast"/>
        </w:trPr>
        <w:tc>
          <w:tcPr>
            <w:tcW w:w="480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项目负责人：王朝学</w:t>
            </w:r>
          </w:p>
        </w:tc>
        <w:tc>
          <w:tcPr>
            <w:tcW w:w="5062"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财务负责人：罗映壮</w:t>
            </w:r>
          </w:p>
        </w:tc>
      </w:tr>
    </w:tbl>
    <w:p>
      <w:pPr>
        <w:pStyle w:val="6"/>
        <w:shd w:val="clear" w:color="010000" w:fill="auto"/>
        <w:rPr>
          <w:rFonts w:hint="eastAsia" w:ascii="仿宋_GB2312" w:hAnsi="Calibri" w:eastAsia="仿宋_GB2312" w:cs="仿宋"/>
          <w:color w:val="auto"/>
          <w:kern w:val="0"/>
          <w:sz w:val="32"/>
          <w:szCs w:val="32"/>
          <w:highlight w:val="none"/>
          <w:lang w:val="en-US" w:eastAsia="zh-CN" w:bidi="ar-SA"/>
        </w:rPr>
      </w:pPr>
    </w:p>
    <w:tbl>
      <w:tblPr>
        <w:tblStyle w:val="16"/>
        <w:tblW w:w="9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092"/>
        <w:gridCol w:w="3"/>
        <w:gridCol w:w="1027"/>
        <w:gridCol w:w="1377"/>
        <w:gridCol w:w="548"/>
        <w:gridCol w:w="1084"/>
        <w:gridCol w:w="617"/>
        <w:gridCol w:w="699"/>
        <w:gridCol w:w="9"/>
        <w:gridCol w:w="507"/>
        <w:gridCol w:w="549"/>
        <w:gridCol w:w="1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trPr>
        <w:tc>
          <w:tcPr>
            <w:tcW w:w="9872"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77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项目名称</w:t>
            </w:r>
          </w:p>
        </w:tc>
        <w:tc>
          <w:tcPr>
            <w:tcW w:w="809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51080023T000008618947-高层次人才安家补助和工作补助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7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主管部门</w:t>
            </w:r>
          </w:p>
        </w:tc>
        <w:tc>
          <w:tcPr>
            <w:tcW w:w="4656"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广元市住房和城乡建设局部门</w:t>
            </w:r>
          </w:p>
        </w:tc>
        <w:tc>
          <w:tcPr>
            <w:tcW w:w="699" w:type="dxa"/>
            <w:tcBorders>
              <w:top w:val="nil"/>
              <w:left w:val="nil"/>
              <w:bottom w:val="nil"/>
              <w:right w:val="nil"/>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实施单位 （盖章）</w:t>
            </w:r>
          </w:p>
        </w:tc>
        <w:tc>
          <w:tcPr>
            <w:tcW w:w="274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项目基本情况</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1.项目年度目标完成情况</w:t>
            </w:r>
          </w:p>
        </w:tc>
        <w:tc>
          <w:tcPr>
            <w:tcW w:w="4656"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项目年度目标</w:t>
            </w:r>
          </w:p>
        </w:tc>
        <w:tc>
          <w:tcPr>
            <w:tcW w:w="344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4656"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引进研究生1名</w:t>
            </w:r>
          </w:p>
        </w:tc>
        <w:tc>
          <w:tcPr>
            <w:tcW w:w="344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引进研究生1名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2.项目实施内容及过程概述</w:t>
            </w:r>
          </w:p>
        </w:tc>
        <w:tc>
          <w:tcPr>
            <w:tcW w:w="809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eastAsia="zh-CN"/>
              </w:rPr>
              <w:t>公招引进研究生</w:t>
            </w:r>
            <w:r>
              <w:rPr>
                <w:rFonts w:hint="eastAsia" w:ascii="宋体" w:hAnsi="宋体" w:eastAsia="宋体" w:cs="宋体"/>
                <w:i w:val="0"/>
                <w:iCs w:val="0"/>
                <w:color w:val="auto"/>
                <w:sz w:val="20"/>
                <w:szCs w:val="20"/>
                <w:highlight w:val="none"/>
                <w:u w:val="none"/>
                <w:lang w:val="en-US" w:eastAsia="zh-CN"/>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预算执行情况（10分）</w:t>
            </w: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年度预算数（万元）</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年初预算</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调整后预算数</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预算执行数</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预算执行率</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总额</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8.30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调整数为引进研究生的安家费和工作补助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其中：财政资金</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8.30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财政专户管理资金</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单位资金</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0.00%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其他资金</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绩效指标（90分）</w:t>
            </w: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一级指标</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二级指标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三级指标</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指标性质</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指标值</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度量单位</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完成值</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权重</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得分</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质量指标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引进研究生学历</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定性</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研究生</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产出指标</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引进人数</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人</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效益指标</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经济效益指标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提高工作效率</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定性</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推进中心工作</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满意度指标</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服务对象满意度指标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单位满意度</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成本指标</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经济成本指标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工作补助</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0.3</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万元</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成本指标</w:t>
            </w:r>
          </w:p>
        </w:tc>
        <w:tc>
          <w:tcPr>
            <w:tcW w:w="1030"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经济成本指标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引进人员安家费</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万元</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0%</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7131"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合计</w:t>
            </w:r>
          </w:p>
        </w:tc>
        <w:tc>
          <w:tcPr>
            <w:tcW w:w="51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22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评价结论</w:t>
            </w:r>
          </w:p>
        </w:tc>
        <w:tc>
          <w:tcPr>
            <w:tcW w:w="918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该项目较好的完成了年度目标任务，保障了</w:t>
            </w:r>
            <w:r>
              <w:rPr>
                <w:rFonts w:hint="eastAsia" w:ascii="宋体" w:hAnsi="宋体" w:eastAsia="宋体" w:cs="宋体"/>
                <w:i w:val="0"/>
                <w:iCs w:val="0"/>
                <w:color w:val="auto"/>
                <w:sz w:val="20"/>
                <w:szCs w:val="20"/>
                <w:highlight w:val="none"/>
                <w:u w:val="none"/>
                <w:lang w:eastAsia="zh-CN"/>
              </w:rPr>
              <w:t>引进人员安家费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存在问题</w:t>
            </w:r>
          </w:p>
        </w:tc>
        <w:tc>
          <w:tcPr>
            <w:tcW w:w="918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改进措施</w:t>
            </w:r>
          </w:p>
        </w:tc>
        <w:tc>
          <w:tcPr>
            <w:tcW w:w="918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73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项目负责人：王朝学</w:t>
            </w:r>
          </w:p>
        </w:tc>
        <w:tc>
          <w:tcPr>
            <w:tcW w:w="5141"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2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财务负责人：罗映壮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9" w:hRule="atLeast"/>
        </w:trPr>
        <w:tc>
          <w:tcPr>
            <w:tcW w:w="9872" w:type="dxa"/>
            <w:gridSpan w:val="1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77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项目名称</w:t>
            </w:r>
          </w:p>
        </w:tc>
        <w:tc>
          <w:tcPr>
            <w:tcW w:w="809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20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51080023T000008768046-广元市西二环一期道路交通安全提升工程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177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主管部门</w:t>
            </w:r>
          </w:p>
        </w:tc>
        <w:tc>
          <w:tcPr>
            <w:tcW w:w="465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广元市住房和城乡建设局部门</w:t>
            </w:r>
          </w:p>
        </w:tc>
        <w:tc>
          <w:tcPr>
            <w:tcW w:w="708" w:type="dxa"/>
            <w:gridSpan w:val="2"/>
            <w:tcBorders>
              <w:top w:val="nil"/>
              <w:left w:val="nil"/>
              <w:bottom w:val="nil"/>
              <w:right w:val="nil"/>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实施单位 （盖章）</w:t>
            </w:r>
          </w:p>
        </w:tc>
        <w:tc>
          <w:tcPr>
            <w:tcW w:w="2732"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项目基本情况</w:t>
            </w:r>
          </w:p>
        </w:tc>
        <w:tc>
          <w:tcPr>
            <w:tcW w:w="109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1.项目年度目标完成情况</w:t>
            </w:r>
          </w:p>
        </w:tc>
        <w:tc>
          <w:tcPr>
            <w:tcW w:w="465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项目年度目标</w:t>
            </w:r>
          </w:p>
        </w:tc>
        <w:tc>
          <w:tcPr>
            <w:tcW w:w="344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c>
          <w:tcPr>
            <w:tcW w:w="4653"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lang w:eastAsia="zh-CN"/>
              </w:rPr>
            </w:pPr>
            <w:r>
              <w:rPr>
                <w:rFonts w:hint="eastAsia" w:ascii="宋体" w:hAnsi="宋体" w:cs="宋体"/>
                <w:i w:val="0"/>
                <w:color w:val="auto"/>
                <w:sz w:val="18"/>
                <w:szCs w:val="18"/>
                <w:highlight w:val="none"/>
                <w:u w:val="none"/>
                <w:lang w:eastAsia="zh-CN"/>
              </w:rPr>
              <w:t>按照轻重缓急的原则依次实施整治，快修快补，确保道路设施完好</w:t>
            </w:r>
          </w:p>
        </w:tc>
        <w:tc>
          <w:tcPr>
            <w:tcW w:w="344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cs="宋体"/>
                <w:i w:val="0"/>
                <w:color w:val="auto"/>
                <w:sz w:val="18"/>
                <w:szCs w:val="18"/>
                <w:highlight w:val="none"/>
                <w:u w:val="none"/>
                <w:lang w:eastAsia="zh-CN"/>
              </w:rPr>
              <w:t>已完成道路安全提升工程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2.项目实施内容及过程概述</w:t>
            </w:r>
          </w:p>
        </w:tc>
        <w:tc>
          <w:tcPr>
            <w:tcW w:w="8093"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color w:val="auto"/>
                <w:highlight w:val="none"/>
                <w:lang w:eastAsia="zh-CN"/>
              </w:rPr>
            </w:pPr>
          </w:p>
          <w:p>
            <w:pPr>
              <w:widowControl/>
              <w:shd w:val="clear" w:color="040000" w:fill="auto"/>
              <w:wordWrap/>
              <w:adjustRightInd/>
              <w:snapToGrid/>
              <w:spacing w:line="190" w:lineRule="exact"/>
              <w:rPr>
                <w:rFonts w:hint="eastAsia"/>
                <w:color w:val="auto"/>
                <w:highlight w:val="none"/>
                <w:lang w:eastAsia="zh-CN"/>
              </w:rPr>
            </w:pPr>
            <w:r>
              <w:rPr>
                <w:rFonts w:hint="eastAsia"/>
                <w:color w:val="auto"/>
                <w:highlight w:val="none"/>
                <w:lang w:eastAsia="zh-CN"/>
              </w:rPr>
              <w:t>对西二环一期道路交通安全进行提升改造</w:t>
            </w:r>
          </w:p>
          <w:p>
            <w:pPr>
              <w:pStyle w:val="2"/>
              <w:shd w:val="clear" w:color="010000" w:fill="auto"/>
              <w:rPr>
                <w:rFonts w:hint="eastAsia"/>
                <w:color w:val="auto"/>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预算执行情况（10分）</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年度预算数（万元）</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年初预算</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调整后预算数</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预算执行数</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预算执行率</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权重</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得分</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总额</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310.00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10</w:t>
            </w:r>
          </w:p>
        </w:tc>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eastAsia="zh-CN"/>
              </w:rPr>
              <w:t>调整数为西二环一期道路提升改造前期费用，</w:t>
            </w:r>
            <w:r>
              <w:rPr>
                <w:rFonts w:hint="eastAsia" w:ascii="宋体" w:hAnsi="宋体" w:cs="宋体"/>
                <w:i w:val="0"/>
                <w:color w:val="auto"/>
                <w:sz w:val="18"/>
                <w:szCs w:val="18"/>
                <w:highlight w:val="none"/>
                <w:u w:val="none"/>
                <w:lang w:val="en-US" w:eastAsia="zh-CN"/>
              </w:rPr>
              <w:t>2022年12月29日下达指标结转2023年支付。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其中：财政资金</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310.00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财政专户管理资金</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单位资金</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0.00%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其他资金</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6"/>
                <w:szCs w:val="16"/>
                <w:highlight w:val="none"/>
                <w:u w:val="none"/>
              </w:rPr>
            </w:pP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6"/>
                <w:szCs w:val="16"/>
                <w:highlight w:val="none"/>
                <w:u w:val="none"/>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6"/>
                <w:szCs w:val="16"/>
                <w:highlight w:val="none"/>
                <w:u w:val="none"/>
              </w:rPr>
            </w:pP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6"/>
                <w:szCs w:val="16"/>
                <w:highlight w:val="none"/>
                <w:u w:val="none"/>
              </w:rPr>
            </w:pP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绩效指标（90分）</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一级指标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二级指标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三级指标</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指标性质</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指标值</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度量单位</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完成值</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权重</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得分</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产出指标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数量指标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新增电子警察及监控</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24</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套</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100</w:t>
            </w:r>
            <w:r>
              <w:rPr>
                <w:rFonts w:hint="eastAsia" w:ascii="宋体" w:hAnsi="宋体" w:eastAsia="宋体" w:cs="宋体"/>
                <w:i w:val="0"/>
                <w:color w:val="auto"/>
                <w:kern w:val="0"/>
                <w:sz w:val="18"/>
                <w:szCs w:val="18"/>
                <w:highlight w:val="none"/>
                <w:u w:val="none"/>
                <w:lang w:val="en-US" w:eastAsia="zh-CN"/>
              </w:rPr>
              <w:t>%</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6</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6</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2022年12月29日下达指标，无法完成支付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产出指标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时效指标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完成时间</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4</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月</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100</w:t>
            </w:r>
            <w:r>
              <w:rPr>
                <w:rFonts w:hint="eastAsia" w:ascii="宋体" w:hAnsi="宋体" w:eastAsia="宋体" w:cs="宋体"/>
                <w:i w:val="0"/>
                <w:color w:val="auto"/>
                <w:kern w:val="0"/>
                <w:sz w:val="18"/>
                <w:szCs w:val="18"/>
                <w:highlight w:val="none"/>
                <w:u w:val="none"/>
                <w:lang w:val="en-US" w:eastAsia="zh-CN"/>
              </w:rPr>
              <w:t>%</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8</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8</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产出指标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数量指标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护栏</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5017</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米</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6</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6</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产出指标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数量指标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新增卡扣测速</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7</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套</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6</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6</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产出指标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质量指标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验收合格率</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100</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w:t>
            </w:r>
            <w:r>
              <w:rPr>
                <w:rFonts w:hint="eastAsia" w:ascii="宋体" w:hAnsi="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18"/>
                <w:szCs w:val="18"/>
                <w:highlight w:val="none"/>
                <w:u w:val="none"/>
                <w:lang w:val="en-US" w:eastAsia="zh-CN"/>
              </w:rPr>
              <w:t>%</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8</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8</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产出指标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数量指标</w:t>
            </w:r>
          </w:p>
        </w:tc>
        <w:tc>
          <w:tcPr>
            <w:tcW w:w="1377" w:type="dxa"/>
            <w:tcBorders>
              <w:top w:val="single" w:color="000000" w:sz="4" w:space="0"/>
              <w:left w:val="single" w:color="000000" w:sz="4" w:space="0"/>
              <w:bottom w:val="nil"/>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标线</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5390</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平方米</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6</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6</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效益指标</w:t>
            </w:r>
          </w:p>
        </w:tc>
        <w:tc>
          <w:tcPr>
            <w:tcW w:w="1027" w:type="dxa"/>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社会效益指标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社会效益</w:t>
            </w:r>
          </w:p>
        </w:tc>
        <w:tc>
          <w:tcPr>
            <w:tcW w:w="548" w:type="dxa"/>
            <w:tcBorders>
              <w:top w:val="single" w:color="000000" w:sz="4" w:space="0"/>
              <w:left w:val="nil"/>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rPr>
              <w:t>定性</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lang w:eastAsia="zh-CN"/>
              </w:rPr>
            </w:pPr>
            <w:r>
              <w:rPr>
                <w:rFonts w:hint="eastAsia" w:ascii="宋体" w:hAnsi="宋体" w:cs="宋体"/>
                <w:i w:val="0"/>
                <w:color w:val="auto"/>
                <w:sz w:val="18"/>
                <w:szCs w:val="18"/>
                <w:highlight w:val="none"/>
                <w:u w:val="none"/>
                <w:lang w:eastAsia="zh-CN"/>
              </w:rPr>
              <w:t>减少交通事故，保障出行安全</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效益指标</w:t>
            </w:r>
          </w:p>
        </w:tc>
        <w:tc>
          <w:tcPr>
            <w:tcW w:w="1027" w:type="dxa"/>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可持续影响指标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可持续影响时间</w:t>
            </w:r>
          </w:p>
        </w:tc>
        <w:tc>
          <w:tcPr>
            <w:tcW w:w="548" w:type="dxa"/>
            <w:tcBorders>
              <w:top w:val="single" w:color="000000" w:sz="4" w:space="0"/>
              <w:left w:val="nil"/>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rPr>
              <w:t>定性</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lang w:eastAsia="zh-CN"/>
              </w:rPr>
            </w:pPr>
            <w:r>
              <w:rPr>
                <w:rFonts w:hint="eastAsia" w:ascii="宋体" w:hAnsi="宋体" w:cs="宋体"/>
                <w:i w:val="0"/>
                <w:color w:val="auto"/>
                <w:sz w:val="18"/>
                <w:szCs w:val="18"/>
                <w:highlight w:val="none"/>
                <w:u w:val="none"/>
                <w:lang w:eastAsia="zh-CN"/>
              </w:rPr>
              <w:t>长期</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rPr>
              <w:t>10</w:t>
            </w: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满意度指标</w:t>
            </w:r>
          </w:p>
        </w:tc>
        <w:tc>
          <w:tcPr>
            <w:tcW w:w="1027" w:type="dxa"/>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满意度指标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公众满意度</w:t>
            </w:r>
          </w:p>
        </w:tc>
        <w:tc>
          <w:tcPr>
            <w:tcW w:w="548" w:type="dxa"/>
            <w:tcBorders>
              <w:top w:val="single" w:color="000000" w:sz="4" w:space="0"/>
              <w:left w:val="nil"/>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90</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rPr>
              <w:t>≥</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成本指标</w:t>
            </w:r>
          </w:p>
        </w:tc>
        <w:tc>
          <w:tcPr>
            <w:tcW w:w="1027" w:type="dxa"/>
            <w:tcBorders>
              <w:top w:val="single" w:color="000000" w:sz="4" w:space="0"/>
              <w:left w:val="single" w:color="000000" w:sz="4" w:space="0"/>
              <w:bottom w:val="single" w:color="000000" w:sz="4" w:space="0"/>
              <w:right w:val="nil"/>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经济成本指标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其他费用</w:t>
            </w:r>
          </w:p>
        </w:tc>
        <w:tc>
          <w:tcPr>
            <w:tcW w:w="548" w:type="dxa"/>
            <w:tcBorders>
              <w:top w:val="single" w:color="000000" w:sz="4" w:space="0"/>
              <w:left w:val="nil"/>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97</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rPr>
              <w:t>=</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5</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成本指标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经济成本指标</w:t>
            </w:r>
          </w:p>
        </w:tc>
        <w:tc>
          <w:tcPr>
            <w:tcW w:w="1377" w:type="dxa"/>
            <w:tcBorders>
              <w:top w:val="nil"/>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设计费用</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32</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rPr>
              <w:t>=</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5</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成本指标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经济成本指标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工程费用</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881</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rPr>
              <w:t>=</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5</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成本指标</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经济成本指标</w:t>
            </w:r>
          </w:p>
        </w:tc>
        <w:tc>
          <w:tcPr>
            <w:tcW w:w="137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监理费用</w:t>
            </w:r>
          </w:p>
        </w:tc>
        <w:tc>
          <w:tcPr>
            <w:tcW w:w="548"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24</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rPr>
              <w:t>=</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5</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7140"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合计</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100</w:t>
            </w: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80</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hd w:val="clear" w:color="040000" w:fill="auto"/>
              <w:wordWrap/>
              <w:adjustRightInd/>
              <w:snapToGrid/>
              <w:spacing w:line="19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评价结论</w:t>
            </w:r>
          </w:p>
        </w:tc>
        <w:tc>
          <w:tcPr>
            <w:tcW w:w="918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sz w:val="16"/>
                <w:szCs w:val="16"/>
                <w:highlight w:val="none"/>
                <w:u w:val="none"/>
              </w:rPr>
              <w:t>该项目较好的完成了年度目标任务，</w:t>
            </w:r>
            <w:r>
              <w:rPr>
                <w:rFonts w:hint="eastAsia" w:ascii="宋体" w:hAnsi="宋体" w:eastAsia="宋体" w:cs="宋体"/>
                <w:i w:val="0"/>
                <w:color w:val="auto"/>
                <w:kern w:val="0"/>
                <w:sz w:val="18"/>
                <w:szCs w:val="18"/>
                <w:highlight w:val="none"/>
                <w:u w:val="none"/>
                <w:lang w:val="en-US" w:eastAsia="zh-CN"/>
              </w:rPr>
              <w:t>2022年12月29日下达指标，无法完成支付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存在问题</w:t>
            </w:r>
          </w:p>
        </w:tc>
        <w:tc>
          <w:tcPr>
            <w:tcW w:w="918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改进措施</w:t>
            </w:r>
          </w:p>
        </w:tc>
        <w:tc>
          <w:tcPr>
            <w:tcW w:w="9188"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4731"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项目负责人：</w:t>
            </w:r>
            <w:r>
              <w:rPr>
                <w:rFonts w:hint="eastAsia" w:ascii="宋体" w:hAnsi="宋体" w:cs="宋体"/>
                <w:i w:val="0"/>
                <w:color w:val="auto"/>
                <w:kern w:val="0"/>
                <w:sz w:val="18"/>
                <w:szCs w:val="18"/>
                <w:highlight w:val="none"/>
                <w:u w:val="none"/>
                <w:lang w:val="en-US" w:eastAsia="zh-CN"/>
              </w:rPr>
              <w:t>王朝学</w:t>
            </w:r>
          </w:p>
        </w:tc>
        <w:tc>
          <w:tcPr>
            <w:tcW w:w="5141"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color="050000" w:fill="auto"/>
              <w:wordWrap/>
              <w:adjustRightInd/>
              <w:snapToGrid/>
              <w:spacing w:line="19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rPr>
              <w:t>财务负责人：</w:t>
            </w:r>
            <w:r>
              <w:rPr>
                <w:rFonts w:hint="eastAsia" w:ascii="宋体" w:hAnsi="宋体" w:cs="宋体"/>
                <w:i w:val="0"/>
                <w:color w:val="auto"/>
                <w:kern w:val="0"/>
                <w:sz w:val="18"/>
                <w:szCs w:val="18"/>
                <w:highlight w:val="none"/>
                <w:u w:val="none"/>
                <w:lang w:val="en-US" w:eastAsia="zh-CN"/>
              </w:rPr>
              <w:t>罗映壮</w:t>
            </w:r>
          </w:p>
        </w:tc>
      </w:tr>
    </w:tbl>
    <w:p>
      <w:pPr>
        <w:shd w:val="clear" w:color="000000" w:fill="auto"/>
        <w:spacing w:line="600" w:lineRule="exact"/>
        <w:jc w:val="center"/>
        <w:outlineLvl w:val="0"/>
        <w:rPr>
          <w:rFonts w:hint="eastAsia" w:ascii="仿宋" w:hAnsi="仿宋" w:eastAsia="仿宋"/>
          <w:b w:val="0"/>
          <w:color w:val="auto"/>
          <w:highlight w:val="none"/>
        </w:rPr>
      </w:pPr>
      <w:bookmarkStart w:id="103" w:name="_Toc678"/>
      <w:bookmarkStart w:id="104" w:name="_Toc742695742_WPSOffice_Level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99"/>
      <w:bookmarkEnd w:id="102"/>
      <w:bookmarkEnd w:id="103"/>
      <w:bookmarkEnd w:id="104"/>
      <w:bookmarkStart w:id="105" w:name="_Toc15396619"/>
    </w:p>
    <w:p>
      <w:pPr>
        <w:pStyle w:val="4"/>
        <w:shd w:val="clear" w:color="010000" w:fill="auto"/>
        <w:rPr>
          <w:rFonts w:ascii="仿宋" w:hAnsi="仿宋" w:eastAsia="仿宋"/>
          <w:color w:val="auto"/>
          <w:highlight w:val="none"/>
        </w:rPr>
      </w:pPr>
      <w:bookmarkStart w:id="106" w:name="_Toc1729183146_WPSOffice_Level2"/>
      <w:bookmarkStart w:id="107" w:name="_Toc7253"/>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05"/>
      <w:bookmarkEnd w:id="106"/>
      <w:bookmarkEnd w:id="107"/>
    </w:p>
    <w:p>
      <w:pPr>
        <w:pStyle w:val="4"/>
        <w:shd w:val="clear" w:color="010000" w:fill="auto"/>
        <w:rPr>
          <w:rFonts w:ascii="仿宋" w:hAnsi="仿宋" w:eastAsia="仿宋"/>
          <w:color w:val="auto"/>
          <w:highlight w:val="none"/>
        </w:rPr>
      </w:pPr>
      <w:bookmarkStart w:id="108" w:name="_Toc1897972750_WPSOffice_Level2"/>
      <w:bookmarkStart w:id="109" w:name="_Toc15396620"/>
      <w:bookmarkStart w:id="110" w:name="_Toc15889"/>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08"/>
      <w:bookmarkEnd w:id="109"/>
      <w:bookmarkEnd w:id="110"/>
    </w:p>
    <w:p>
      <w:pPr>
        <w:pStyle w:val="4"/>
        <w:shd w:val="clear" w:color="010000" w:fill="auto"/>
        <w:rPr>
          <w:rFonts w:ascii="仿宋" w:hAnsi="仿宋" w:eastAsia="仿宋"/>
          <w:color w:val="auto"/>
          <w:highlight w:val="none"/>
        </w:rPr>
      </w:pPr>
      <w:bookmarkStart w:id="111" w:name="_Toc1145481588_WPSOffice_Level2"/>
      <w:bookmarkStart w:id="112" w:name="_Toc15396621"/>
      <w:bookmarkStart w:id="113" w:name="_Toc29488"/>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11"/>
      <w:bookmarkEnd w:id="112"/>
      <w:bookmarkEnd w:id="113"/>
    </w:p>
    <w:p>
      <w:pPr>
        <w:pStyle w:val="4"/>
        <w:shd w:val="clear" w:color="010000" w:fill="auto"/>
        <w:rPr>
          <w:rFonts w:ascii="仿宋" w:hAnsi="仿宋" w:eastAsia="仿宋"/>
          <w:b w:val="0"/>
          <w:color w:val="auto"/>
          <w:highlight w:val="none"/>
        </w:rPr>
      </w:pPr>
      <w:bookmarkStart w:id="114" w:name="_Toc1022850017_WPSOffice_Level2"/>
      <w:bookmarkStart w:id="115" w:name="_Toc15396622"/>
      <w:bookmarkStart w:id="116" w:name="_Toc4299"/>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14"/>
      <w:bookmarkEnd w:id="115"/>
      <w:bookmarkEnd w:id="116"/>
    </w:p>
    <w:p>
      <w:pPr>
        <w:pStyle w:val="4"/>
        <w:shd w:val="clear" w:color="010000" w:fill="auto"/>
        <w:rPr>
          <w:rStyle w:val="25"/>
          <w:rFonts w:ascii="仿宋" w:hAnsi="仿宋" w:eastAsia="仿宋"/>
          <w:b w:val="0"/>
          <w:bCs w:val="0"/>
          <w:color w:val="auto"/>
          <w:highlight w:val="none"/>
        </w:rPr>
      </w:pPr>
      <w:bookmarkStart w:id="117" w:name="_Toc1474552515_WPSOffice_Level2"/>
      <w:bookmarkStart w:id="118" w:name="_Toc15396623"/>
      <w:bookmarkStart w:id="119" w:name="_Toc7487"/>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17"/>
      <w:bookmarkEnd w:id="118"/>
      <w:bookmarkEnd w:id="119"/>
      <w:bookmarkStart w:id="120" w:name="_Toc15396624"/>
    </w:p>
    <w:p>
      <w:pPr>
        <w:pStyle w:val="4"/>
        <w:shd w:val="clear" w:color="010000" w:fill="auto"/>
        <w:rPr>
          <w:rFonts w:ascii="仿宋" w:hAnsi="仿宋" w:eastAsia="仿宋"/>
          <w:color w:val="auto"/>
          <w:highlight w:val="none"/>
        </w:rPr>
      </w:pPr>
      <w:bookmarkStart w:id="121" w:name="_Toc13192"/>
      <w:bookmarkStart w:id="122" w:name="_Toc179777637_WPSOffice_Level2"/>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20"/>
      <w:bookmarkEnd w:id="121"/>
      <w:bookmarkEnd w:id="122"/>
    </w:p>
    <w:p>
      <w:pPr>
        <w:pStyle w:val="4"/>
        <w:shd w:val="clear" w:color="010000" w:fill="auto"/>
        <w:rPr>
          <w:rFonts w:ascii="仿宋" w:hAnsi="仿宋" w:eastAsia="仿宋"/>
          <w:color w:val="auto"/>
          <w:highlight w:val="none"/>
        </w:rPr>
      </w:pPr>
      <w:bookmarkStart w:id="123" w:name="_Toc15217"/>
      <w:bookmarkStart w:id="124" w:name="_Toc15396625"/>
      <w:bookmarkStart w:id="125" w:name="_Toc479853678_WPSOffice_Level2"/>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23"/>
      <w:bookmarkEnd w:id="124"/>
      <w:bookmarkEnd w:id="125"/>
    </w:p>
    <w:p>
      <w:pPr>
        <w:pStyle w:val="4"/>
        <w:shd w:val="clear" w:color="010000" w:fill="auto"/>
        <w:rPr>
          <w:rFonts w:ascii="仿宋" w:hAnsi="仿宋" w:eastAsia="仿宋"/>
          <w:color w:val="auto"/>
          <w:highlight w:val="none"/>
        </w:rPr>
      </w:pPr>
      <w:bookmarkStart w:id="126" w:name="_Toc1106646260_WPSOffice_Level2"/>
      <w:bookmarkStart w:id="127" w:name="_Toc2649"/>
      <w:bookmarkStart w:id="128"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26"/>
      <w:bookmarkEnd w:id="127"/>
      <w:bookmarkEnd w:id="128"/>
    </w:p>
    <w:p>
      <w:pPr>
        <w:pStyle w:val="4"/>
        <w:shd w:val="clear" w:color="010000" w:fill="auto"/>
        <w:rPr>
          <w:rFonts w:ascii="仿宋" w:hAnsi="仿宋" w:eastAsia="仿宋"/>
          <w:color w:val="auto"/>
          <w:highlight w:val="none"/>
        </w:rPr>
      </w:pPr>
      <w:bookmarkStart w:id="129" w:name="_Toc21741"/>
      <w:bookmarkStart w:id="130" w:name="_Toc15396627"/>
      <w:bookmarkStart w:id="131" w:name="_Toc1752259233_WPSOffice_Level2"/>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29"/>
      <w:bookmarkEnd w:id="130"/>
      <w:bookmarkEnd w:id="131"/>
    </w:p>
    <w:p>
      <w:pPr>
        <w:pStyle w:val="4"/>
        <w:shd w:val="clear" w:color="010000" w:fill="auto"/>
        <w:rPr>
          <w:rFonts w:ascii="仿宋" w:hAnsi="仿宋" w:eastAsia="仿宋"/>
          <w:color w:val="auto"/>
          <w:highlight w:val="none"/>
        </w:rPr>
      </w:pPr>
      <w:bookmarkStart w:id="132" w:name="_Toc15396628"/>
      <w:bookmarkStart w:id="133" w:name="_Toc19899"/>
      <w:bookmarkStart w:id="134" w:name="_Toc82849584_WPSOffice_Level2"/>
      <w:r>
        <w:rPr>
          <w:rStyle w:val="25"/>
          <w:rFonts w:hint="eastAsia" w:ascii="仿宋" w:hAnsi="仿宋" w:eastAsia="仿宋"/>
          <w:b w:val="0"/>
          <w:bCs w:val="0"/>
          <w:color w:val="auto"/>
          <w:highlight w:val="none"/>
        </w:rPr>
        <w:t>十、</w:t>
      </w:r>
      <w:bookmarkEnd w:id="132"/>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33"/>
      <w:bookmarkEnd w:id="134"/>
    </w:p>
    <w:p>
      <w:pPr>
        <w:pStyle w:val="4"/>
        <w:shd w:val="clear" w:color="010000" w:fill="auto"/>
        <w:rPr>
          <w:rFonts w:ascii="仿宋" w:hAnsi="仿宋" w:eastAsia="仿宋"/>
          <w:color w:val="auto"/>
          <w:highlight w:val="none"/>
        </w:rPr>
      </w:pPr>
      <w:bookmarkStart w:id="135" w:name="_Toc15396629"/>
      <w:bookmarkStart w:id="136" w:name="_Toc680653031_WPSOffice_Level2"/>
      <w:bookmarkStart w:id="137" w:name="_Toc7781"/>
      <w:r>
        <w:rPr>
          <w:rStyle w:val="25"/>
          <w:rFonts w:hint="eastAsia" w:ascii="仿宋" w:hAnsi="仿宋" w:eastAsia="仿宋"/>
          <w:b w:val="0"/>
          <w:bCs w:val="0"/>
          <w:color w:val="auto"/>
          <w:highlight w:val="none"/>
        </w:rPr>
        <w:t>十一、</w:t>
      </w:r>
      <w:bookmarkEnd w:id="135"/>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36"/>
      <w:bookmarkEnd w:id="137"/>
    </w:p>
    <w:p>
      <w:pPr>
        <w:pStyle w:val="4"/>
        <w:shd w:val="clear" w:color="010000" w:fill="auto"/>
        <w:rPr>
          <w:rFonts w:ascii="仿宋" w:hAnsi="仿宋" w:eastAsia="仿宋"/>
          <w:color w:val="auto"/>
          <w:highlight w:val="none"/>
        </w:rPr>
      </w:pPr>
      <w:bookmarkStart w:id="138" w:name="_Toc15396630"/>
      <w:bookmarkStart w:id="139" w:name="_Toc27931"/>
      <w:bookmarkStart w:id="140" w:name="_Toc1424559168_WPSOffice_Level2"/>
      <w:r>
        <w:rPr>
          <w:rStyle w:val="25"/>
          <w:rFonts w:hint="eastAsia" w:ascii="仿宋" w:hAnsi="仿宋" w:eastAsia="仿宋"/>
          <w:b w:val="0"/>
          <w:bCs w:val="0"/>
          <w:color w:val="auto"/>
          <w:highlight w:val="none"/>
        </w:rPr>
        <w:t>十二、</w:t>
      </w:r>
      <w:bookmarkEnd w:id="138"/>
      <w:r>
        <w:rPr>
          <w:rStyle w:val="25"/>
          <w:rFonts w:hint="eastAsia" w:ascii="仿宋" w:hAnsi="仿宋" w:eastAsia="仿宋"/>
          <w:b w:val="0"/>
          <w:bCs w:val="0"/>
          <w:color w:val="auto"/>
          <w:highlight w:val="none"/>
          <w:lang w:eastAsia="zh-CN"/>
        </w:rPr>
        <w:t>国有资本经营预算财政拨款支出决算表</w:t>
      </w:r>
      <w:bookmarkEnd w:id="139"/>
      <w:bookmarkEnd w:id="140"/>
    </w:p>
    <w:p>
      <w:pPr>
        <w:pStyle w:val="4"/>
        <w:shd w:val="clear" w:color="010000" w:fill="auto"/>
        <w:rPr>
          <w:rFonts w:hint="eastAsia" w:eastAsia="仿宋"/>
          <w:color w:val="auto"/>
          <w:highlight w:val="none"/>
          <w:lang w:eastAsia="zh-CN"/>
        </w:rPr>
      </w:pPr>
      <w:bookmarkStart w:id="141" w:name="_Toc15396631"/>
      <w:bookmarkStart w:id="142" w:name="_Toc583469043_WPSOffice_Level2"/>
      <w:bookmarkStart w:id="143" w:name="_Toc10506"/>
      <w:r>
        <w:rPr>
          <w:rStyle w:val="25"/>
          <w:rFonts w:hint="eastAsia" w:ascii="仿宋" w:hAnsi="仿宋" w:eastAsia="仿宋"/>
          <w:b w:val="0"/>
          <w:bCs w:val="0"/>
          <w:color w:val="auto"/>
          <w:highlight w:val="none"/>
        </w:rPr>
        <w:t>十三、</w:t>
      </w:r>
      <w:bookmarkEnd w:id="141"/>
      <w:r>
        <w:rPr>
          <w:rStyle w:val="25"/>
          <w:rFonts w:hint="eastAsia" w:ascii="仿宋" w:hAnsi="仿宋" w:eastAsia="仿宋"/>
          <w:b w:val="0"/>
          <w:bCs w:val="0"/>
          <w:color w:val="auto"/>
          <w:highlight w:val="none"/>
          <w:lang w:eastAsia="zh-CN"/>
        </w:rPr>
        <w:t>财政拨款“三公”经费支出决算表</w:t>
      </w:r>
      <w:bookmarkEnd w:id="142"/>
      <w:bookmarkEnd w:id="143"/>
    </w:p>
    <w:sectPr>
      <w:footerReference r:id="rId7" w:type="first"/>
      <w:footerReference r:id="rId6"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PAGE   \* MERGEFORMAT</w:instrText>
    </w:r>
    <w:r>
      <w:fldChar w:fldCharType="separate"/>
    </w:r>
    <w:r>
      <w:rPr>
        <w:lang w:val="zh-CN"/>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ascii="Calibri" w:hAnsi="Calibri" w:eastAsia="宋体" w:cs="Times New Roman"/>
        <w:kern w:val="0"/>
        <w:sz w:val="18"/>
        <w:szCs w:val="18"/>
        <w:lang w:val="en-US" w:eastAsia="zh-CN" w:bidi="ar-SA"/>
      </w:rPr>
      <w:pict>
        <v:rect id="文本框 8"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p>
                <w:pPr>
                  <w:pStyle w:val="2"/>
                </w:pPr>
              </w:p>
            </w:txbxContent>
          </v:textbox>
        </v:rect>
      </w:pic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0"/>
        <w:sz w:val="18"/>
        <w:szCs w:val="18"/>
        <w:lang w:val="en-US" w:eastAsia="zh-CN" w:bidi="ar-SA"/>
      </w:rPr>
      <w:pict>
        <v:rect id="文本框 9"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08035965">
    <w:nsid w:val="E2FA047D"/>
    <w:multiLevelType w:val="singleLevel"/>
    <w:tmpl w:val="E2FA047D"/>
    <w:lvl w:ilvl="0" w:tentative="1">
      <w:start w:val="3"/>
      <w:numFmt w:val="chineseCounting"/>
      <w:suff w:val="space"/>
      <w:lvlText w:val="第%1部分"/>
      <w:lvlJc w:val="left"/>
      <w:rPr>
        <w:rFonts w:hint="eastAsia" w:ascii="黑体" w:hAnsi="黑体" w:eastAsia="黑体" w:cs="黑体"/>
        <w:sz w:val="44"/>
        <w:szCs w:val="44"/>
      </w:rPr>
    </w:lvl>
  </w:abstractNum>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941138074">
    <w:nsid w:val="3818A09A"/>
    <w:multiLevelType w:val="singleLevel"/>
    <w:tmpl w:val="3818A09A"/>
    <w:lvl w:ilvl="0" w:tentative="1">
      <w:start w:val="1"/>
      <w:numFmt w:val="chineseCounting"/>
      <w:suff w:val="nothing"/>
      <w:lvlText w:val="%1、"/>
      <w:lvlJc w:val="left"/>
      <w:rPr>
        <w:rFonts w:hint="eastAsia"/>
      </w:rPr>
    </w:lvl>
  </w:abstractNum>
  <w:abstractNum w:abstractNumId="3443536492">
    <w:nsid w:val="CD40326C"/>
    <w:multiLevelType w:val="singleLevel"/>
    <w:tmpl w:val="CD40326C"/>
    <w:lvl w:ilvl="0" w:tentative="1">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3479514348">
    <w:nsid w:val="CF652CEC"/>
    <w:multiLevelType w:val="singleLevel"/>
    <w:tmpl w:val="CF652CEC"/>
    <w:lvl w:ilvl="0" w:tentative="1">
      <w:start w:val="9"/>
      <w:numFmt w:val="chineseCounting"/>
      <w:suff w:val="nothing"/>
      <w:lvlText w:val="%1、"/>
      <w:lvlJc w:val="left"/>
      <w:rPr>
        <w:rFonts w:hint="eastAsia"/>
      </w:rPr>
    </w:lvl>
  </w:abstractNum>
  <w:num w:numId="1">
    <w:abstractNumId w:val="941138074"/>
  </w:num>
  <w:num w:numId="2">
    <w:abstractNumId w:val="309482763"/>
  </w:num>
  <w:num w:numId="3">
    <w:abstractNumId w:val="3479514348"/>
  </w:num>
  <w:num w:numId="4">
    <w:abstractNumId w:val="3808035965"/>
  </w:num>
  <w:num w:numId="5">
    <w:abstractNumId w:val="34435364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EFF8942"/>
    <w:rsid w:val="10C055FF"/>
    <w:rsid w:val="118107EC"/>
    <w:rsid w:val="11DD6519"/>
    <w:rsid w:val="16BB723D"/>
    <w:rsid w:val="18015F3F"/>
    <w:rsid w:val="1BE8440E"/>
    <w:rsid w:val="1D155CEE"/>
    <w:rsid w:val="20F57F95"/>
    <w:rsid w:val="240371BF"/>
    <w:rsid w:val="25711CC6"/>
    <w:rsid w:val="25C741E6"/>
    <w:rsid w:val="27842671"/>
    <w:rsid w:val="29FD04D3"/>
    <w:rsid w:val="2ABE7A3E"/>
    <w:rsid w:val="2ACCADCE"/>
    <w:rsid w:val="2CA234A8"/>
    <w:rsid w:val="2DFFECC7"/>
    <w:rsid w:val="2E9B04AB"/>
    <w:rsid w:val="2EFA178C"/>
    <w:rsid w:val="30B46D73"/>
    <w:rsid w:val="319F7F4E"/>
    <w:rsid w:val="3799CCC6"/>
    <w:rsid w:val="383D272C"/>
    <w:rsid w:val="39AE70AB"/>
    <w:rsid w:val="3C0C0783"/>
    <w:rsid w:val="3F9F3A96"/>
    <w:rsid w:val="3FFFAC68"/>
    <w:rsid w:val="3FFFD633"/>
    <w:rsid w:val="41085755"/>
    <w:rsid w:val="448825D0"/>
    <w:rsid w:val="457607CA"/>
    <w:rsid w:val="48BF60AB"/>
    <w:rsid w:val="493C27E9"/>
    <w:rsid w:val="496F39ED"/>
    <w:rsid w:val="49FF41D3"/>
    <w:rsid w:val="4BE068DB"/>
    <w:rsid w:val="4BF6002B"/>
    <w:rsid w:val="4ECE2238"/>
    <w:rsid w:val="51DB4B86"/>
    <w:rsid w:val="55333C3E"/>
    <w:rsid w:val="56A7DE4C"/>
    <w:rsid w:val="59F8B3DE"/>
    <w:rsid w:val="6371B6C3"/>
    <w:rsid w:val="64BB4347"/>
    <w:rsid w:val="64CA39A1"/>
    <w:rsid w:val="69630ADE"/>
    <w:rsid w:val="69AEDAEF"/>
    <w:rsid w:val="6AFB8C76"/>
    <w:rsid w:val="6B739481"/>
    <w:rsid w:val="6BF405F6"/>
    <w:rsid w:val="6C4A05C8"/>
    <w:rsid w:val="6D3B1A89"/>
    <w:rsid w:val="6D96F37B"/>
    <w:rsid w:val="6F7FA5B4"/>
    <w:rsid w:val="6FBB7805"/>
    <w:rsid w:val="6FFEAD2A"/>
    <w:rsid w:val="71BF4EC2"/>
    <w:rsid w:val="723BFFE6"/>
    <w:rsid w:val="72734D90"/>
    <w:rsid w:val="7412278C"/>
    <w:rsid w:val="749349BF"/>
    <w:rsid w:val="77EFB102"/>
    <w:rsid w:val="7904082E"/>
    <w:rsid w:val="79E7B28D"/>
    <w:rsid w:val="7AFEFB43"/>
    <w:rsid w:val="7B7EEBDE"/>
    <w:rsid w:val="7BF618F0"/>
    <w:rsid w:val="7DBE4BA6"/>
    <w:rsid w:val="7DCB5415"/>
    <w:rsid w:val="7F7A3CEF"/>
    <w:rsid w:val="7F9F20EE"/>
    <w:rsid w:val="7FF7FA74"/>
    <w:rsid w:val="8FBFD188"/>
    <w:rsid w:val="8FDF94EF"/>
    <w:rsid w:val="9A6220C9"/>
    <w:rsid w:val="9ABEE091"/>
    <w:rsid w:val="9E3A10E2"/>
    <w:rsid w:val="9EDD5B8B"/>
    <w:rsid w:val="9F77779D"/>
    <w:rsid w:val="AFB6E2B8"/>
    <w:rsid w:val="BB471056"/>
    <w:rsid w:val="BB7260DC"/>
    <w:rsid w:val="BFC5A978"/>
    <w:rsid w:val="BFFF4F94"/>
    <w:rsid w:val="C02D7676"/>
    <w:rsid w:val="CD7FBE0F"/>
    <w:rsid w:val="CFCFABFE"/>
    <w:rsid w:val="D9DEC577"/>
    <w:rsid w:val="DB1F6360"/>
    <w:rsid w:val="DB7B214E"/>
    <w:rsid w:val="DDDDDFEB"/>
    <w:rsid w:val="DDEC36BB"/>
    <w:rsid w:val="E7BB00A6"/>
    <w:rsid w:val="EF5D33FD"/>
    <w:rsid w:val="EFDDA3B1"/>
    <w:rsid w:val="EFF30D6C"/>
    <w:rsid w:val="F2E1F9D4"/>
    <w:rsid w:val="F3FFC1C2"/>
    <w:rsid w:val="F7880819"/>
    <w:rsid w:val="F7FBA62E"/>
    <w:rsid w:val="F97F3E05"/>
    <w:rsid w:val="F9B53CAA"/>
    <w:rsid w:val="FBE28C3B"/>
    <w:rsid w:val="FBEEF9DC"/>
    <w:rsid w:val="FBF1F21D"/>
    <w:rsid w:val="FDF5172D"/>
    <w:rsid w:val="FDFF915C"/>
    <w:rsid w:val="FE5F651E"/>
    <w:rsid w:val="FEDE038B"/>
    <w:rsid w:val="FF79DB31"/>
    <w:rsid w:val="FFEA5AB1"/>
    <w:rsid w:val="FFED614B"/>
    <w:rsid w:val="FFEFC2E0"/>
    <w:rsid w:val="FFFB49A3"/>
    <w:rsid w:val="FFFEE2CA"/>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6">
    <w:name w:val="Normal Table"/>
    <w:unhideWhenUsed/>
    <w:qFormat/>
    <w:uiPriority w:val="99"/>
    <w:tblPr>
      <w:tblStyle w:val="16"/>
      <w:tblLayout w:type="fixed"/>
      <w:tblCellMar>
        <w:top w:w="0" w:type="dxa"/>
        <w:left w:w="108" w:type="dxa"/>
        <w:bottom w:w="0" w:type="dxa"/>
        <w:right w:w="108" w:type="dxa"/>
      </w:tblCellMar>
    </w:tblPr>
    <w:tcPr>
      <w:textDirection w:val="lrTb"/>
    </w:tcPr>
  </w:style>
  <w:style w:type="paragraph" w:styleId="2">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3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unhideWhenUsed/>
    <w:qFormat/>
    <w:uiPriority w:val="99"/>
    <w:rPr>
      <w:sz w:val="18"/>
      <w:szCs w:val="18"/>
    </w:rPr>
  </w:style>
  <w:style w:type="paragraph" w:styleId="9">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List Paragraph"/>
    <w:basedOn w:val="1"/>
    <w:qFormat/>
    <w:uiPriority w:val="34"/>
    <w:pPr>
      <w:ind w:firstLine="420" w:firstLineChars="200"/>
    </w:pPr>
  </w:style>
  <w:style w:type="paragraph" w:customStyle="1" w:styleId="19">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0">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Cambria" w:hAnsi="Cambria" w:eastAsia="宋体" w:cs="黑体"/>
      <w:b/>
      <w:bCs/>
      <w:kern w:val="2"/>
      <w:sz w:val="32"/>
      <w:szCs w:val="32"/>
    </w:rPr>
  </w:style>
  <w:style w:type="character" w:customStyle="1" w:styleId="26">
    <w:name w:val="标题 3 Char"/>
    <w:basedOn w:val="13"/>
    <w:link w:val="5"/>
    <w:qFormat/>
    <w:uiPriority w:val="9"/>
    <w:rPr>
      <w:rFonts w:ascii="Times New Roman" w:hAnsi="Times New Roman"/>
      <w:b/>
      <w:bCs/>
      <w:kern w:val="2"/>
      <w:sz w:val="32"/>
      <w:szCs w:val="32"/>
    </w:rPr>
  </w:style>
  <w:style w:type="character" w:customStyle="1" w:styleId="27">
    <w:name w:val="Header Char"/>
    <w:basedOn w:val="13"/>
    <w:semiHidden/>
    <w:qFormat/>
    <w:uiPriority w:val="99"/>
    <w:rPr>
      <w:rFonts w:ascii="Times New Roman" w:hAnsi="Times New Roman"/>
      <w:sz w:val="18"/>
      <w:szCs w:val="18"/>
    </w:rPr>
  </w:style>
  <w:style w:type="character" w:customStyle="1" w:styleId="28">
    <w:name w:val="页眉 Char"/>
    <w:link w:val="9"/>
    <w:semiHidden/>
    <w:qFormat/>
    <w:locked/>
    <w:uiPriority w:val="99"/>
    <w:rPr>
      <w:sz w:val="18"/>
    </w:rPr>
  </w:style>
  <w:style w:type="character" w:customStyle="1" w:styleId="29">
    <w:name w:val="Footer Char"/>
    <w:basedOn w:val="13"/>
    <w:semiHidden/>
    <w:qFormat/>
    <w:uiPriority w:val="99"/>
    <w:rPr>
      <w:rFonts w:ascii="Times New Roman" w:hAnsi="Times New Roman"/>
      <w:sz w:val="18"/>
      <w:szCs w:val="18"/>
    </w:rPr>
  </w:style>
  <w:style w:type="character" w:customStyle="1" w:styleId="30">
    <w:name w:val="页脚 Char"/>
    <w:link w:val="2"/>
    <w:qFormat/>
    <w:locked/>
    <w:uiPriority w:val="99"/>
    <w:rPr>
      <w:sz w:val="18"/>
    </w:rPr>
  </w:style>
  <w:style w:type="character" w:customStyle="1" w:styleId="31">
    <w:name w:val="Body Text Char"/>
    <w:basedOn w:val="13"/>
    <w:semiHidden/>
    <w:qFormat/>
    <w:uiPriority w:val="99"/>
    <w:rPr>
      <w:rFonts w:ascii="Times New Roman" w:hAnsi="Times New Roman"/>
      <w:szCs w:val="24"/>
    </w:rPr>
  </w:style>
  <w:style w:type="character" w:customStyle="1" w:styleId="32">
    <w:name w:val="正文文本 Char"/>
    <w:link w:val="6"/>
    <w:qFormat/>
    <w:locked/>
    <w:uiPriority w:val="99"/>
    <w:rPr>
      <w:rFonts w:ascii="仿宋_GB2312" w:hAnsi="Times New Roman" w:eastAsia="仿宋_GB2312"/>
      <w:sz w:val="24"/>
    </w:rPr>
  </w:style>
  <w:style w:type="character" w:customStyle="1" w:styleId="33">
    <w:name w:val="批注框文本 Char"/>
    <w:basedOn w:val="13"/>
    <w:link w:val="8"/>
    <w:semiHidden/>
    <w:qFormat/>
    <w:uiPriority w:val="99"/>
    <w:rPr>
      <w:rFonts w:ascii="Times New Roman" w:hAnsi="Times New Roman"/>
      <w:kern w:val="2"/>
      <w:sz w:val="18"/>
      <w:szCs w:val="18"/>
    </w:rPr>
  </w:style>
  <w:style w:type="character" w:customStyle="1" w:styleId="34">
    <w:name w:val="font8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textRotate="1"/>
    <customShpInfo spid="_x0000_s1032" textRotate="1"/>
    <customShpInfo spid="_x0000_s103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ALICAY</cp:lastModifiedBy>
  <cp:lastPrinted>2023-08-04T02:35:00Z</cp:lastPrinted>
  <dcterms:modified xsi:type="dcterms:W3CDTF">2025-03-03T00:45:55Z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6B70361D626A4593B4A9C4A901EC4F63</vt:lpwstr>
  </property>
</Properties>
</file>