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广元市城市管理行政执法局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关于报送2019年度法治政府建设工作开展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情况及2020年工作重点的函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eastAsia="仿宋_GB2312" w:cs="仿宋_GB2312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  <w:shd w:val="clear" w:color="auto" w:fill="FFFFFF"/>
        </w:rPr>
        <w:t>市法治政府建设领导小组办公室：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eastAsia="仿宋_GB2312"/>
          <w:kern w:val="0"/>
          <w:sz w:val="32"/>
          <w:szCs w:val="32"/>
          <w:lang w:val="zh-CN"/>
        </w:rPr>
        <w:t>今年以来，市城管执法局按照</w:t>
      </w:r>
      <w:r>
        <w:rPr>
          <w:rFonts w:eastAsia="仿宋_GB2312"/>
          <w:kern w:val="0"/>
          <w:sz w:val="32"/>
          <w:szCs w:val="32"/>
          <w:lang w:val="zh-CN"/>
        </w:rPr>
        <w:t>《</w:t>
      </w:r>
      <w:r>
        <w:rPr>
          <w:rFonts w:hint="eastAsia" w:eastAsia="仿宋_GB2312"/>
          <w:kern w:val="0"/>
          <w:sz w:val="32"/>
          <w:szCs w:val="32"/>
          <w:lang w:val="zh-CN"/>
        </w:rPr>
        <w:t>广元市人民政府2019年度法治政府建设重点工作安排</w:t>
      </w:r>
      <w:r>
        <w:rPr>
          <w:rFonts w:eastAsia="仿宋_GB2312"/>
          <w:kern w:val="0"/>
          <w:sz w:val="32"/>
          <w:szCs w:val="32"/>
          <w:lang w:val="zh-CN"/>
        </w:rPr>
        <w:t>》（广府办</w:t>
      </w:r>
      <w:r>
        <w:rPr>
          <w:rFonts w:hint="eastAsia" w:eastAsia="仿宋_GB2312"/>
          <w:kern w:val="0"/>
          <w:sz w:val="32"/>
          <w:szCs w:val="32"/>
          <w:lang w:val="zh-CN"/>
        </w:rPr>
        <w:t>发</w:t>
      </w:r>
      <w:r>
        <w:rPr>
          <w:rFonts w:eastAsia="仿宋_GB2312"/>
          <w:kern w:val="0"/>
          <w:sz w:val="32"/>
          <w:szCs w:val="32"/>
          <w:lang w:val="zh-CN"/>
        </w:rPr>
        <w:t>〔2019〕</w:t>
      </w:r>
      <w:r>
        <w:rPr>
          <w:rFonts w:hint="eastAsia" w:eastAsia="仿宋_GB2312"/>
          <w:kern w:val="0"/>
          <w:sz w:val="32"/>
          <w:szCs w:val="32"/>
          <w:lang w:val="zh-CN"/>
        </w:rPr>
        <w:t>4</w:t>
      </w:r>
      <w:r>
        <w:rPr>
          <w:rFonts w:eastAsia="仿宋_GB2312"/>
          <w:kern w:val="0"/>
          <w:sz w:val="32"/>
          <w:szCs w:val="32"/>
          <w:lang w:val="zh-CN"/>
        </w:rPr>
        <w:t>2号）要求，</w:t>
      </w:r>
      <w:r>
        <w:rPr>
          <w:rFonts w:hint="eastAsia" w:eastAsia="仿宋_GB2312"/>
          <w:kern w:val="0"/>
          <w:sz w:val="32"/>
          <w:szCs w:val="32"/>
          <w:lang w:val="zh-CN"/>
        </w:rPr>
        <w:t>认真抓好</w:t>
      </w:r>
      <w:r>
        <w:rPr>
          <w:rFonts w:eastAsia="仿宋_GB2312"/>
          <w:sz w:val="32"/>
          <w:szCs w:val="32"/>
        </w:rPr>
        <w:t>法治政府建设</w:t>
      </w:r>
      <w:r>
        <w:rPr>
          <w:rFonts w:hint="eastAsia" w:eastAsia="仿宋_GB2312"/>
          <w:sz w:val="32"/>
          <w:szCs w:val="32"/>
        </w:rPr>
        <w:t>各项</w:t>
      </w:r>
      <w:r>
        <w:rPr>
          <w:rFonts w:eastAsia="仿宋_GB2312"/>
          <w:sz w:val="32"/>
          <w:szCs w:val="32"/>
        </w:rPr>
        <w:t>工作</w:t>
      </w:r>
      <w:r>
        <w:rPr>
          <w:rFonts w:hint="eastAsia" w:eastAsia="仿宋_GB2312"/>
          <w:sz w:val="32"/>
          <w:szCs w:val="32"/>
        </w:rPr>
        <w:t>落地落实，</w:t>
      </w:r>
      <w:r>
        <w:rPr>
          <w:rFonts w:eastAsia="仿宋_GB2312"/>
          <w:sz w:val="32"/>
          <w:szCs w:val="32"/>
        </w:rPr>
        <w:t>现将</w:t>
      </w:r>
      <w:r>
        <w:rPr>
          <w:rFonts w:hint="eastAsia" w:eastAsia="仿宋_GB2312"/>
          <w:sz w:val="32"/>
          <w:szCs w:val="32"/>
        </w:rPr>
        <w:t>工作开展情况</w:t>
      </w:r>
      <w:r>
        <w:rPr>
          <w:rFonts w:eastAsia="仿宋_GB2312"/>
          <w:sz w:val="32"/>
          <w:szCs w:val="32"/>
        </w:rPr>
        <w:t>报</w:t>
      </w:r>
      <w:r>
        <w:rPr>
          <w:rFonts w:hint="eastAsia" w:eastAsia="仿宋_GB2312"/>
          <w:sz w:val="32"/>
          <w:szCs w:val="32"/>
        </w:rPr>
        <w:t>送</w:t>
      </w:r>
      <w:r>
        <w:rPr>
          <w:rFonts w:eastAsia="仿宋_GB2312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一、2019年工作开展情况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lang w:val="zh-CN"/>
        </w:rPr>
      </w:pPr>
      <w:r>
        <w:rPr>
          <w:rFonts w:hint="eastAsia" w:ascii="方正楷体简体" w:eastAsia="方正楷体简体"/>
          <w:sz w:val="32"/>
          <w:szCs w:val="32"/>
        </w:rPr>
        <w:t>（一）强化领导，落实工作责任。</w:t>
      </w:r>
      <w:r>
        <w:rPr>
          <w:rFonts w:eastAsia="仿宋_GB2312"/>
          <w:kern w:val="0"/>
          <w:sz w:val="32"/>
          <w:szCs w:val="32"/>
          <w:lang w:val="zh-CN"/>
        </w:rPr>
        <w:t>成立以局长为组长的法治工作领导小组，</w:t>
      </w:r>
      <w:r>
        <w:rPr>
          <w:rFonts w:hint="eastAsia" w:eastAsia="仿宋_GB2312"/>
          <w:kern w:val="0"/>
          <w:sz w:val="32"/>
          <w:szCs w:val="32"/>
          <w:lang w:val="zh-CN"/>
        </w:rPr>
        <w:t>明确具体负责部门，配齐配强人员，安排工作经费，</w:t>
      </w:r>
      <w:r>
        <w:rPr>
          <w:rFonts w:eastAsia="仿宋_GB2312"/>
          <w:kern w:val="0"/>
          <w:sz w:val="32"/>
          <w:szCs w:val="32"/>
          <w:lang w:val="zh-CN"/>
        </w:rPr>
        <w:t>把</w:t>
      </w:r>
      <w:r>
        <w:rPr>
          <w:rFonts w:hint="eastAsia" w:eastAsia="仿宋_GB2312"/>
          <w:kern w:val="0"/>
          <w:sz w:val="32"/>
          <w:szCs w:val="32"/>
          <w:lang w:val="zh-CN"/>
        </w:rPr>
        <w:t>法治政府建设</w:t>
      </w:r>
      <w:r>
        <w:rPr>
          <w:rFonts w:eastAsia="仿宋_GB2312"/>
          <w:kern w:val="0"/>
          <w:sz w:val="32"/>
          <w:szCs w:val="32"/>
          <w:lang w:val="zh-CN"/>
        </w:rPr>
        <w:t>纳入局直属单位和机关各科室年度绩效目标考核，制发《2019年法治政府建设工作要点》，</w:t>
      </w:r>
      <w:r>
        <w:rPr>
          <w:rFonts w:hint="eastAsia" w:eastAsia="仿宋_GB2312"/>
          <w:kern w:val="0"/>
          <w:sz w:val="32"/>
          <w:szCs w:val="32"/>
          <w:lang w:val="zh-CN"/>
        </w:rPr>
        <w:t>将法治政府建设任务落实到部门</w:t>
      </w:r>
      <w:r>
        <w:rPr>
          <w:rFonts w:eastAsia="仿宋_GB2312"/>
          <w:kern w:val="0"/>
          <w:sz w:val="32"/>
          <w:szCs w:val="32"/>
          <w:lang w:val="zh-CN"/>
        </w:rPr>
        <w:t>，</w:t>
      </w:r>
      <w:r>
        <w:rPr>
          <w:rFonts w:hint="eastAsia" w:eastAsia="仿宋_GB2312"/>
          <w:kern w:val="0"/>
          <w:sz w:val="32"/>
          <w:szCs w:val="32"/>
          <w:lang w:val="zh-CN"/>
        </w:rPr>
        <w:t>落实到人头。全年召开法治政府建设专题会议工作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lang w:val="zh-CN"/>
        </w:rPr>
        <w:t>次，局主要领导经常带队开展检查督促，确保法治政府建设工作扎实有效推进。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ascii="方正楷体简体" w:hAnsi="Times New Roman" w:eastAsia="方正楷体简体" w:cs="Times New Roman"/>
          <w:kern w:val="2"/>
          <w:sz w:val="32"/>
          <w:szCs w:val="34"/>
        </w:rPr>
      </w:pPr>
      <w:r>
        <w:rPr>
          <w:rFonts w:hint="eastAsia" w:ascii="方正楷体简体" w:hAnsi="Times New Roman" w:eastAsia="方正楷体简体" w:cs="Times New Roman"/>
          <w:kern w:val="2"/>
          <w:sz w:val="32"/>
          <w:szCs w:val="34"/>
        </w:rPr>
        <w:t>（二）严格履职，规范执法行为。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211" w:right="1077" w:bottom="1417" w:left="1474" w:header="850" w:footer="680" w:gutter="0"/>
          <w:paperSrc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1.抓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好行政审批。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是清理审批事项，通过政务服务一体化平台认领行政审批事项6项（其中子项2项）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优化行政审批流程，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sz w:val="32"/>
          <w:szCs w:val="32"/>
          <w:lang w:val="zh-CN"/>
        </w:rPr>
        <w:t>行政许可受理及办结时间由承诺时限20个工作日压缩到8个工作日，实际3—5个工作日办结。所有行政审批、征收事项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,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办事流程、办事指南均通过局网站和政务中心窗口及网站向社会公示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。二是按照行政审批“三集中、三到位”要求，所有许可项目均集中到市政务中心窗口，实现一个窗口受理、一站式服务，推行“一窗进出”并联审批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和网上审批，工作效率明显提升。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目前，已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办理行政审批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613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件，不予许可7件，全程网办率达到100%，群众满意率100%。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2.加强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制度建设。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  <w:lang w:val="zh-CN"/>
        </w:rPr>
        <w:t>积极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推动城市管理地方立法工作，市容和环境卫生管理条例（草案）已通过市人大常委会三审。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代市政府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起草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餐厨垃圾管理暂行办法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，修订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市城区犬只管理办法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目前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两个办法均已征求相关部门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和社会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意见，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待修改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完善后报市政府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审定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3.规范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行政决策。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认真落实重大行政决策集体讨论、社会公示、专家咨询论证等制度，注重决策后实施效果跟踪评估和后续修正，有效保证决策的科学性和合法性。定期邀请政风行风评议员、效能监察员评议监督执法人员工作作风、案件办理、队容风纪。</w:t>
      </w:r>
      <w:r>
        <w:rPr>
          <w:rFonts w:hint="eastAsia" w:ascii="Times New Roman" w:hAnsi="Times New Roman" w:eastAsia="方正楷体简体" w:cs="Times New Roman"/>
          <w:kern w:val="2"/>
          <w:sz w:val="32"/>
          <w:szCs w:val="34"/>
        </w:rPr>
        <w:t>聘请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法律顾问参与重大行政决策9次，审查各类合同8份，提出律师意见30余条。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FF0000"/>
          <w:kern w:val="2"/>
          <w:sz w:val="32"/>
          <w:szCs w:val="34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4.推进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行政执法标准化建设。完善</w:t>
      </w:r>
      <w:r>
        <w:rPr>
          <w:rFonts w:eastAsia="仿宋_GB2312"/>
          <w:bCs/>
          <w:sz w:val="32"/>
          <w:szCs w:val="32"/>
        </w:rPr>
        <w:t>“一体化”政务服务平台运行机制，规范行政处罚案件流程，</w:t>
      </w:r>
      <w:r>
        <w:rPr>
          <w:rFonts w:hint="eastAsia" w:eastAsia="仿宋_GB2312"/>
          <w:bCs/>
          <w:sz w:val="32"/>
          <w:szCs w:val="32"/>
        </w:rPr>
        <w:t>严格</w:t>
      </w:r>
      <w:r>
        <w:rPr>
          <w:rFonts w:eastAsia="仿宋_GB2312"/>
          <w:bCs/>
          <w:sz w:val="32"/>
          <w:szCs w:val="32"/>
        </w:rPr>
        <w:t>视听资料、照片等证据的制作，确保行政处罚案件依法、规范、高效运行。</w:t>
      </w:r>
      <w:r>
        <w:rPr>
          <w:rFonts w:hint="eastAsia" w:ascii="Times New Roman" w:hAnsi="Times New Roman" w:eastAsia="仿宋_GB2312"/>
          <w:sz w:val="32"/>
          <w:szCs w:val="32"/>
        </w:rPr>
        <w:t>组织召开案审会4次，</w:t>
      </w:r>
      <w:r>
        <w:rPr>
          <w:rFonts w:ascii="Times New Roman" w:hAnsi="Times New Roman" w:eastAsia="仿宋_GB2312"/>
          <w:sz w:val="32"/>
          <w:szCs w:val="32"/>
        </w:rPr>
        <w:t>讨论案件45件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</w:rPr>
        <w:t>对各类重大、疑难行政处罚案件进行</w:t>
      </w:r>
      <w:r>
        <w:rPr>
          <w:rFonts w:hint="eastAsia" w:ascii="Times New Roman" w:hAnsi="Times New Roman" w:eastAsia="仿宋_GB2312" w:cs="Times New Roman"/>
          <w:sz w:val="32"/>
        </w:rPr>
        <w:t>严格</w:t>
      </w:r>
      <w:r>
        <w:rPr>
          <w:rFonts w:ascii="Times New Roman" w:hAnsi="Times New Roman" w:eastAsia="仿宋_GB2312" w:cs="Times New Roman"/>
          <w:sz w:val="32"/>
        </w:rPr>
        <w:t>审核把关</w:t>
      </w:r>
      <w:r>
        <w:rPr>
          <w:rFonts w:hint="eastAsia" w:ascii="Times New Roman" w:eastAsia="仿宋_GB2312" w:cs="Times New Roman"/>
          <w:sz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方正楷体简体" w:hAnsi="Times New Roman" w:eastAsia="方正楷体简体" w:cs="Times New Roman"/>
          <w:kern w:val="2"/>
          <w:sz w:val="32"/>
          <w:szCs w:val="34"/>
        </w:rPr>
      </w:pPr>
      <w:r>
        <w:rPr>
          <w:rFonts w:hint="eastAsia" w:ascii="方正楷体简体" w:hAnsi="Times New Roman" w:eastAsia="方正楷体简体" w:cs="Times New Roman"/>
          <w:kern w:val="2"/>
          <w:sz w:val="32"/>
          <w:szCs w:val="34"/>
        </w:rPr>
        <w:t>（三）宣传引导，营造良好氛围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1.全面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落实学法制度。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  <w:lang w:val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是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建立局党委会、局务会会前学法制度、领导班子集体学法制度，将《宪法》《公务员法》、党纪党规和城市管理相关法律法规纳入年度中心组学习计划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局党委会、局务会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累计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组织开展会前学法14次，领导干部带头讲法8次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。二是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组织执法人员集中学习《噪声污染防治法》《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环境保护法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》《四川省城乡环境综合治理条例》《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广元市城区户外广告设置管理办法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》等法律法规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和规范性文件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，不定期举办法制讲座，执法人员受教育面达100%。不断加强普法队伍建设，由局领导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主抓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，建立以政策法规科、执法监督科为主体，以市城管执法支队、市城管警察支队为骨干，以各执法大队为依托的学法、普法工作队伍，完善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法治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宣传教育网络体系。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  <w:lang w:val="en-US" w:eastAsia="zh-CN" w:bidi="ar-SA"/>
        </w:rPr>
        <w:t>2.突出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  <w:lang w:val="en-US" w:eastAsia="zh-CN" w:bidi="ar-SA"/>
        </w:rPr>
        <w:t>宣传教育引导。一</w:t>
      </w:r>
      <w:r>
        <w:rPr>
          <w:rFonts w:eastAsia="仿宋_GB2312"/>
          <w:bCs/>
          <w:sz w:val="32"/>
        </w:rPr>
        <w:t>是全面开展社会法治宣传。先后组织开展生活垃圾分类、文明祭祀、占道经营专项整治</w:t>
      </w:r>
      <w:r>
        <w:rPr>
          <w:rFonts w:hint="eastAsia" w:eastAsia="仿宋_GB2312"/>
          <w:bCs/>
          <w:sz w:val="32"/>
        </w:rPr>
        <w:t>、</w:t>
      </w:r>
      <w:r>
        <w:rPr>
          <w:rFonts w:eastAsia="仿宋_GB2312"/>
          <w:bCs/>
          <w:sz w:val="32"/>
        </w:rPr>
        <w:t>扫黑除恶等宣传活动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 w:bidi="ar-SA"/>
        </w:rPr>
        <w:t>，累计组织参加各类宣传活动30余次，发放宣传资料10万余份，制作宣传牌400个，指示牌100</w:t>
      </w:r>
      <w:r>
        <w:rPr>
          <w:rFonts w:eastAsia="仿宋_GB2312"/>
          <w:bCs/>
          <w:sz w:val="32"/>
        </w:rPr>
        <w:t>个，接受市民咨询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 w:bidi="ar-SA"/>
        </w:rPr>
        <w:t>10000</w:t>
      </w:r>
      <w:r>
        <w:rPr>
          <w:rFonts w:eastAsia="仿宋_GB2312"/>
          <w:bCs/>
          <w:sz w:val="32"/>
        </w:rPr>
        <w:t>余人次</w:t>
      </w:r>
      <w:r>
        <w:rPr>
          <w:rFonts w:hint="eastAsia" w:eastAsia="仿宋_GB2312"/>
          <w:bCs/>
          <w:sz w:val="32"/>
        </w:rPr>
        <w:t>。</w:t>
      </w:r>
      <w:r>
        <w:rPr>
          <w:rFonts w:eastAsia="仿宋_GB2312"/>
          <w:bCs/>
          <w:sz w:val="32"/>
        </w:rPr>
        <w:t>在广元电视台、《广元日报》《广元晚报》大力宣传城市管理工作，营造良好法治宣传社会舆论氛围。二是加强法治建设宣传平台建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 w:bidi="ar-SA"/>
        </w:rPr>
        <w:t>设。办实局官方网站，办</w:t>
      </w: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好“广元城管”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 w:bidi="ar-SA"/>
        </w:rPr>
        <w:t>微博，办活局官方微信公众号，网站刊发信息180条、微信公众号70条、微博101条，广元电视台190条，《广元日报》50篇，《广元晚报》35篇。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Cs/>
          <w:sz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3.扎实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开展示范创建。对标</w:t>
      </w:r>
      <w:r>
        <w:rPr>
          <w:rFonts w:hint="eastAsia" w:ascii="Times New Roman" w:eastAsia="仿宋_GB2312" w:cs="Times New Roman"/>
          <w:bCs/>
          <w:sz w:val="32"/>
        </w:rPr>
        <w:t>中央依法治国办公室《市县法治政府建设示范创建指标体系》，</w:t>
      </w:r>
      <w:r>
        <w:rPr>
          <w:rFonts w:ascii="Times New Roman" w:eastAsia="仿宋_GB2312" w:cs="Times New Roman"/>
          <w:bCs/>
          <w:sz w:val="32"/>
        </w:rPr>
        <w:t>以</w:t>
      </w:r>
      <w:r>
        <w:rPr>
          <w:rFonts w:hint="eastAsia" w:ascii="Times New Roman" w:hAnsi="Times New Roman" w:eastAsia="仿宋_GB2312" w:cs="Times New Roman"/>
          <w:bCs/>
          <w:sz w:val="32"/>
        </w:rPr>
        <w:t>“</w:t>
      </w:r>
      <w:r>
        <w:rPr>
          <w:rFonts w:ascii="Times New Roman" w:eastAsia="仿宋_GB2312" w:cs="Times New Roman"/>
          <w:bCs/>
          <w:sz w:val="32"/>
        </w:rPr>
        <w:t>法治城管</w:t>
      </w:r>
      <w:r>
        <w:rPr>
          <w:rFonts w:hint="eastAsia" w:ascii="Times New Roman" w:hAnsi="Times New Roman" w:eastAsia="仿宋_GB2312" w:cs="Times New Roman"/>
          <w:bCs/>
          <w:sz w:val="32"/>
        </w:rPr>
        <w:t>”</w:t>
      </w:r>
      <w:r>
        <w:rPr>
          <w:rFonts w:ascii="Times New Roman" w:eastAsia="仿宋_GB2312" w:cs="Times New Roman"/>
          <w:bCs/>
          <w:sz w:val="32"/>
        </w:rPr>
        <w:t>为目标，</w:t>
      </w:r>
      <w:r>
        <w:rPr>
          <w:rFonts w:hint="eastAsia" w:ascii="Times New Roman" w:eastAsia="仿宋_GB2312" w:cs="Times New Roman"/>
          <w:bCs/>
          <w:sz w:val="32"/>
        </w:rPr>
        <w:t>开展</w:t>
      </w:r>
      <w:r>
        <w:rPr>
          <w:rFonts w:ascii="Times New Roman" w:eastAsia="仿宋_GB2312" w:cs="Times New Roman"/>
          <w:bCs/>
          <w:sz w:val="32"/>
        </w:rPr>
        <w:t>法治城管</w:t>
      </w:r>
      <w:r>
        <w:rPr>
          <w:rFonts w:hint="eastAsia" w:ascii="Times New Roman" w:eastAsia="仿宋_GB2312" w:cs="Times New Roman"/>
          <w:bCs/>
          <w:sz w:val="32"/>
        </w:rPr>
        <w:t>示范岗位建设，增强干部职工</w:t>
      </w:r>
      <w:r>
        <w:rPr>
          <w:rFonts w:ascii="Times New Roman" w:eastAsia="仿宋_GB2312" w:cs="Times New Roman"/>
          <w:bCs/>
          <w:sz w:val="32"/>
        </w:rPr>
        <w:t>法治思维，</w:t>
      </w:r>
      <w:r>
        <w:rPr>
          <w:rFonts w:hint="eastAsia" w:ascii="Times New Roman" w:eastAsia="仿宋_GB2312" w:cs="Times New Roman"/>
          <w:bCs/>
          <w:sz w:val="32"/>
        </w:rPr>
        <w:t>坚持以人民为中心的理念，</w:t>
      </w:r>
      <w:r>
        <w:rPr>
          <w:rFonts w:ascii="Times New Roman" w:eastAsia="仿宋_GB2312" w:cs="Times New Roman"/>
          <w:bCs/>
          <w:sz w:val="32"/>
        </w:rPr>
        <w:t>不断</w:t>
      </w:r>
      <w:r>
        <w:rPr>
          <w:rFonts w:hint="eastAsia" w:ascii="Times New Roman" w:eastAsia="仿宋_GB2312" w:cs="Times New Roman"/>
          <w:bCs/>
          <w:sz w:val="32"/>
        </w:rPr>
        <w:t>创新方式方法，</w:t>
      </w:r>
      <w:r>
        <w:rPr>
          <w:rFonts w:ascii="Times New Roman" w:eastAsia="仿宋_GB2312" w:cs="Times New Roman"/>
          <w:bCs/>
          <w:sz w:val="32"/>
        </w:rPr>
        <w:t>提</w:t>
      </w:r>
      <w:r>
        <w:rPr>
          <w:rFonts w:hint="eastAsia" w:ascii="Times New Roman" w:eastAsia="仿宋_GB2312" w:cs="Times New Roman"/>
          <w:bCs/>
          <w:sz w:val="32"/>
        </w:rPr>
        <w:t>升</w:t>
      </w:r>
      <w:r>
        <w:rPr>
          <w:rFonts w:ascii="Times New Roman" w:eastAsia="仿宋_GB2312" w:cs="Times New Roman"/>
          <w:bCs/>
          <w:sz w:val="32"/>
        </w:rPr>
        <w:t>城市管理</w:t>
      </w:r>
      <w:r>
        <w:rPr>
          <w:rFonts w:hint="eastAsia" w:ascii="Times New Roman" w:eastAsia="仿宋_GB2312" w:cs="Times New Roman"/>
          <w:bCs/>
          <w:sz w:val="32"/>
        </w:rPr>
        <w:t>效率和</w:t>
      </w:r>
      <w:r>
        <w:rPr>
          <w:rFonts w:ascii="Times New Roman" w:eastAsia="仿宋_GB2312" w:cs="Times New Roman"/>
          <w:bCs/>
          <w:sz w:val="32"/>
        </w:rPr>
        <w:t>水平，</w:t>
      </w:r>
      <w:r>
        <w:rPr>
          <w:rFonts w:hint="eastAsia" w:ascii="Times New Roman" w:eastAsia="仿宋_GB2312" w:cs="Times New Roman"/>
          <w:bCs/>
          <w:sz w:val="32"/>
        </w:rPr>
        <w:t>深入推进城市管理领域法治政府建设工作</w:t>
      </w:r>
      <w:r>
        <w:rPr>
          <w:rFonts w:ascii="Times New Roman" w:eastAsia="仿宋_GB2312" w:cs="Times New Roman"/>
          <w:bCs/>
          <w:sz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方正楷体简体" w:hAnsi="Times New Roman" w:eastAsia="方正楷体简体" w:cs="Times New Roman"/>
          <w:kern w:val="2"/>
          <w:sz w:val="32"/>
          <w:szCs w:val="34"/>
        </w:rPr>
      </w:pPr>
      <w:r>
        <w:rPr>
          <w:rFonts w:hint="eastAsia" w:ascii="方正楷体简体" w:hAnsi="Times New Roman" w:eastAsia="方正楷体简体" w:cs="Times New Roman"/>
          <w:kern w:val="2"/>
          <w:sz w:val="32"/>
          <w:szCs w:val="34"/>
        </w:rPr>
        <w:t>（四）监督检查，推进依法治理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34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4"/>
        </w:rPr>
        <w:t>1.依法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开展行业治理。持续实施“四</w:t>
      </w:r>
      <w:r>
        <w:rPr>
          <w:rFonts w:hint="eastAsia" w:ascii="仿宋_GB2312" w:hAnsi="仿宋_GB2312" w:eastAsia="仿宋_GB2312" w:cs="仿宋_GB2312"/>
          <w:sz w:val="32"/>
        </w:rPr>
        <w:t>定”网格化城市管理，</w:t>
      </w:r>
      <w:r>
        <w:rPr>
          <w:rFonts w:ascii="Times New Roman" w:hAnsi="Times New Roman" w:eastAsia="仿宋_GB2312"/>
          <w:sz w:val="32"/>
        </w:rPr>
        <w:t>结合创建国家园林城市和全国文明城市工作，</w:t>
      </w:r>
      <w:r>
        <w:rPr>
          <w:rFonts w:hint="eastAsia" w:ascii="仿宋_GB2312" w:hAnsi="仿宋_GB2312" w:eastAsia="仿宋_GB2312" w:cs="仿宋_GB2312"/>
          <w:sz w:val="32"/>
        </w:rPr>
        <w:t>开展以整治占道经营、车辆停放</w:t>
      </w:r>
      <w:r>
        <w:rPr>
          <w:rFonts w:ascii="Times New Roman" w:hAnsi="Times New Roman" w:eastAsia="仿宋_GB2312"/>
          <w:sz w:val="32"/>
        </w:rPr>
        <w:t>、扬尘污染等为重点的市容秩</w:t>
      </w:r>
      <w:r>
        <w:rPr>
          <w:rFonts w:hint="eastAsia" w:ascii="仿宋_GB2312" w:hAnsi="仿宋_GB2312" w:eastAsia="仿宋_GB2312" w:cs="仿宋_GB2312"/>
          <w:sz w:val="32"/>
        </w:rPr>
        <w:t>序“大清理、大整治、大提升”专</w:t>
      </w:r>
      <w:r>
        <w:rPr>
          <w:rFonts w:ascii="Times New Roman" w:hAnsi="Times New Roman" w:eastAsia="仿宋_GB2312"/>
          <w:sz w:val="32"/>
        </w:rPr>
        <w:t>项行动，集中整治跨门（占道）经营、车辆乱停放、油烟噪音扰民等违法行为，抓好校园周边环境综合治理</w:t>
      </w:r>
      <w:r>
        <w:rPr>
          <w:rFonts w:hint="eastAsia" w:ascii="Times New Roman" w:hAnsi="Times New Roman" w:eastAsia="仿宋_GB2312"/>
          <w:sz w:val="32"/>
        </w:rPr>
        <w:t>，全年办理行政处罚案件12万余件。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4"/>
        </w:rPr>
        <w:t>2.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4"/>
        </w:rPr>
        <w:t>全</w:t>
      </w:r>
      <w:r>
        <w:rPr>
          <w:rFonts w:hint="eastAsia" w:ascii="仿宋_GB2312" w:hAnsi="仿宋_GB2312" w:eastAsia="仿宋_GB2312" w:cs="仿宋_GB2312"/>
          <w:kern w:val="2"/>
          <w:sz w:val="32"/>
          <w:szCs w:val="34"/>
        </w:rPr>
        <w:t>面强化监督检查。一</w:t>
      </w:r>
      <w:r>
        <w:rPr>
          <w:rFonts w:ascii="仿宋_GB2312" w:hAnsi="仿宋_GB2312" w:eastAsia="仿宋_GB2312" w:cs="仿宋_GB2312"/>
          <w:sz w:val="32"/>
        </w:rPr>
        <w:t>是做好行政复议、诉讼应诉、行政听证</w:t>
      </w:r>
      <w:r>
        <w:rPr>
          <w:rFonts w:hint="default" w:ascii="Times New Roman" w:hAnsi="Times New Roman" w:eastAsia="仿宋_GB2312" w:cs="Times New Roman"/>
          <w:sz w:val="32"/>
        </w:rPr>
        <w:t>工作。完善《行政应诉工作规程》，今年共办理行政复议2件，诉讼2件，听证1件，</w:t>
      </w:r>
      <w:r>
        <w:rPr>
          <w:rFonts w:ascii="仿宋_GB2312" w:hAnsi="仿宋_GB2312" w:eastAsia="仿宋_GB2312" w:cs="仿宋_GB2312"/>
          <w:sz w:val="32"/>
        </w:rPr>
        <w:t>目前无一例被撤销、变更或被法院判决撤销。加大对非诉案件的执行力度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10</w:t>
      </w:r>
      <w:r>
        <w:rPr>
          <w:rFonts w:hint="default" w:ascii="Times New Roman" w:hAnsi="Times New Roman" w:eastAsia="仿宋_GB2312" w:cs="Times New Roman"/>
          <w:sz w:val="32"/>
        </w:rPr>
        <w:t>件行政处罚案件移送城市管理巡回法庭执行到位，执行款项</w:t>
      </w:r>
      <w:r>
        <w:rPr>
          <w:rFonts w:hint="eastAsia" w:ascii="Times New Roman" w:hAnsi="Times New Roman" w:eastAsia="仿宋_GB2312" w:cs="Times New Roman"/>
          <w:sz w:val="32"/>
        </w:rPr>
        <w:t>33</w:t>
      </w:r>
      <w:r>
        <w:rPr>
          <w:rFonts w:hint="default" w:ascii="Times New Roman" w:hAnsi="Times New Roman" w:eastAsia="仿宋_GB2312" w:cs="Times New Roman"/>
          <w:sz w:val="32"/>
        </w:rPr>
        <w:t>万</w:t>
      </w:r>
      <w:r>
        <w:rPr>
          <w:rFonts w:ascii="仿宋_GB2312" w:hAnsi="仿宋_GB2312" w:eastAsia="仿宋_GB2312" w:cs="仿宋_GB2312"/>
          <w:sz w:val="32"/>
        </w:rPr>
        <w:t>余元。</w:t>
      </w:r>
      <w:r>
        <w:rPr>
          <w:rFonts w:hint="eastAsia" w:ascii="仿宋_GB2312" w:hAnsi="仿宋_GB2312" w:eastAsia="仿宋_GB2312" w:cs="仿宋_GB2312"/>
          <w:sz w:val="32"/>
        </w:rPr>
        <w:t>二</w:t>
      </w:r>
      <w:r>
        <w:rPr>
          <w:rFonts w:ascii="仿宋_GB2312" w:hAnsi="仿宋_GB2312" w:eastAsia="仿宋_GB2312" w:cs="仿宋_GB2312"/>
          <w:sz w:val="32"/>
        </w:rPr>
        <w:t>是及时回应社会关切，持续加大网络舆情监管，办理书记市长信箱转办件</w:t>
      </w:r>
      <w:r>
        <w:rPr>
          <w:rFonts w:hint="default" w:ascii="Times New Roman" w:hAnsi="Times New Roman" w:eastAsia="仿宋_GB2312" w:cs="Times New Roman"/>
          <w:sz w:val="32"/>
        </w:rPr>
        <w:t>302件，城管热线投诉16243件，天网视频巡查3775件、市</w:t>
      </w:r>
      <w:r>
        <w:rPr>
          <w:rFonts w:ascii="仿宋_GB2312" w:hAnsi="仿宋_GB2312" w:eastAsia="仿宋_GB2312" w:cs="仿宋_GB2312"/>
          <w:sz w:val="32"/>
        </w:rPr>
        <w:t>政巡查上</w:t>
      </w:r>
      <w:r>
        <w:rPr>
          <w:rFonts w:hint="default" w:ascii="Times New Roman" w:hAnsi="Times New Roman" w:eastAsia="仿宋_GB2312" w:cs="Times New Roman"/>
          <w:sz w:val="32"/>
        </w:rPr>
        <w:t>报14650</w:t>
      </w:r>
      <w:r>
        <w:rPr>
          <w:rFonts w:ascii="仿宋_GB2312" w:hAnsi="仿宋_GB2312" w:eastAsia="仿宋_GB2312" w:cs="仿宋_GB2312"/>
          <w:sz w:val="32"/>
        </w:rPr>
        <w:t>件，及时派遣率</w:t>
      </w:r>
      <w:r>
        <w:rPr>
          <w:rFonts w:hint="default" w:ascii="Times New Roman" w:hAnsi="Times New Roman" w:eastAsia="仿宋_GB2312" w:cs="Times New Roman"/>
          <w:sz w:val="32"/>
        </w:rPr>
        <w:t>100%</w:t>
      </w:r>
      <w:r>
        <w:rPr>
          <w:rFonts w:ascii="仿宋_GB2312" w:hAnsi="仿宋_GB2312" w:eastAsia="仿宋_GB2312" w:cs="仿宋_GB2312"/>
          <w:sz w:val="32"/>
        </w:rPr>
        <w:t>，案件处置满意率达</w:t>
      </w:r>
      <w:r>
        <w:rPr>
          <w:rFonts w:hint="default" w:ascii="Times New Roman" w:hAnsi="Times New Roman" w:eastAsia="仿宋_GB2312" w:cs="Times New Roman"/>
          <w:sz w:val="32"/>
        </w:rPr>
        <w:t>90%</w:t>
      </w:r>
      <w:r>
        <w:rPr>
          <w:rFonts w:ascii="仿宋_GB2312" w:hAnsi="仿宋_GB2312" w:eastAsia="仿宋_GB2312" w:cs="仿宋_GB2312"/>
          <w:sz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方正黑体简体" w:hAnsi="Times New Roman" w:eastAsia="方正黑体简体" w:cs="Times New Roman"/>
          <w:kern w:val="2"/>
          <w:sz w:val="32"/>
          <w:szCs w:val="34"/>
        </w:rPr>
      </w:pPr>
      <w:r>
        <w:rPr>
          <w:rFonts w:hint="eastAsia" w:ascii="方正黑体简体" w:hAnsi="Times New Roman" w:eastAsia="方正黑体简体" w:cs="Times New Roman"/>
          <w:kern w:val="2"/>
          <w:sz w:val="32"/>
          <w:szCs w:val="34"/>
        </w:rPr>
        <w:t>二、2020年工作重点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（一）按照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广元市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法治政府建设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工作方案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（201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7—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2020年）》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要求，继续严格落实各项工作任务，补足短板，全面推进法治政府建设。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（二）结合社会信用信息平台，严格依法依规公示行政许可和行政处罚，加快建立城市管理领域“信用黑名单”，健全失信人联合惩戒机制。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（三）进一步建立完善“三项制度”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规范执法程序，加强监督检查，确保制度得到有效实施。结合省住建厅即将修订的行政执法自由裁量权标准，修订城市管理行政处罚自由裁量权标准，进一步规范执法行为。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 xml:space="preserve">                       广元市城市管理行政执法局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 xml:space="preserve">                           2019年11月2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576" w:lineRule="exact"/>
        <w:rPr>
          <w:rFonts w:hint="eastAsia" w:eastAsia="仿宋_GB2312"/>
          <w:sz w:val="32"/>
          <w:szCs w:val="32"/>
        </w:rPr>
      </w:pPr>
    </w:p>
    <w:p>
      <w:pPr>
        <w:spacing w:line="40" w:lineRule="exact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4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pBdr>
          <w:top w:val="single" w:color="auto" w:sz="8" w:space="1"/>
          <w:bottom w:val="single" w:color="auto" w:sz="8" w:space="1"/>
        </w:pBdr>
        <w:spacing w:line="460" w:lineRule="exact"/>
      </w:pPr>
      <w:r>
        <w:rPr>
          <w:rFonts w:hint="eastAsia" w:eastAsia="仿宋_GB2312"/>
          <w:sz w:val="28"/>
          <w:szCs w:val="28"/>
        </w:rPr>
        <w:t>　广元市城市管理行政执法局办公室　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　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2019年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  <w:r>
        <w:rPr>
          <w:rFonts w:hint="eastAsia" w:eastAsia="仿宋_GB2312"/>
          <w:sz w:val="28"/>
          <w:szCs w:val="28"/>
        </w:rPr>
        <w:t>　</w:t>
      </w:r>
    </w:p>
    <w:sectPr>
      <w:pgSz w:w="11906" w:h="16838"/>
      <w:pgMar w:top="2098" w:right="1474" w:bottom="1984" w:left="1587" w:header="850" w:footer="158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835" w:wrap="around" w:vAnchor="text" w:hAnchor="margin" w:xAlign="outside" w:y="2"/>
      <w:ind w:firstLine="280" w:firstLineChars="100"/>
      <w:rPr>
        <w:rStyle w:val="6"/>
        <w:sz w:val="28"/>
        <w:szCs w:val="28"/>
      </w:rPr>
    </w:pPr>
    <w:r>
      <w:rPr>
        <w:rStyle w:val="6"/>
        <w:sz w:val="28"/>
        <w:szCs w:val="28"/>
      </w:rPr>
      <w:t>—　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　—</w:t>
    </w:r>
    <w:r>
      <w:rPr>
        <w:rStyle w:val="6"/>
        <w:rFonts w:hint="eastAsia"/>
        <w:sz w:val="28"/>
        <w:szCs w:val="28"/>
      </w:rPr>
      <w:t>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AB3"/>
    <w:rsid w:val="00292395"/>
    <w:rsid w:val="002C4935"/>
    <w:rsid w:val="00352AB3"/>
    <w:rsid w:val="00CB6DA0"/>
    <w:rsid w:val="00FA319C"/>
    <w:rsid w:val="77B7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p16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366</Words>
  <Characters>2088</Characters>
  <Lines>17</Lines>
  <Paragraphs>4</Paragraphs>
  <TotalTime>6</TotalTime>
  <ScaleCrop>false</ScaleCrop>
  <LinksUpToDate>false</LinksUpToDate>
  <CharactersWithSpaces>2450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2019-11-26T00:58:00Z</dcterms:created>
  <dc:creator>政策法规科:舒诗涵</dc:creator>
  <cp:lastModifiedBy>Administrator</cp:lastModifiedBy>
  <cp:lastPrinted>2019-11-26T02:40:02Z</cp:lastPrinted>
  <dcterms:modified xsi:type="dcterms:W3CDTF">2019-11-26T02:40:13Z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