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8441"/>
      <w:bookmarkStart w:id="3" w:name="_Toc15396597"/>
      <w:bookmarkStart w:id="4" w:name="_Toc15377425"/>
      <w:bookmarkStart w:id="5" w:name="_Toc15377193"/>
      <w:r>
        <w:rPr>
          <w:rFonts w:ascii="方正小标宋简体" w:hAnsi="宋体" w:eastAsia="方正小标宋简体" w:cs="方正小标宋简体"/>
          <w:color w:val="000000"/>
          <w:sz w:val="72"/>
          <w:szCs w:val="72"/>
        </w:rPr>
        <w:t>2020</w:t>
      </w:r>
      <w:r>
        <w:rPr>
          <w:rFonts w:hint="eastAsia" w:ascii="方正小标宋简体" w:hAnsi="宋体" w:eastAsia="方正小标宋简体" w:cs="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598"/>
      <w:bookmarkStart w:id="7" w:name="_Toc15378442"/>
      <w:bookmarkStart w:id="8" w:name="_Toc15377194"/>
      <w:bookmarkStart w:id="9" w:name="_Toc15377426"/>
      <w:bookmarkStart w:id="10" w:name="_Toc15396476"/>
      <w:r>
        <w:rPr>
          <w:rFonts w:hint="eastAsia" w:ascii="方正小标宋简体" w:hAnsi="宋体" w:eastAsia="方正小标宋简体" w:cs="方正小标宋简体"/>
          <w:color w:val="000000"/>
          <w:sz w:val="72"/>
          <w:szCs w:val="72"/>
        </w:rPr>
        <w:t>广元市</w:t>
      </w:r>
      <w:bookmarkStart w:id="11" w:name="_Toc15306268"/>
      <w:bookmarkEnd w:id="0"/>
      <w:r>
        <w:rPr>
          <w:rFonts w:hint="eastAsia" w:ascii="方正小标宋简体" w:hAnsi="宋体" w:eastAsia="方正小标宋简体" w:cs="方正小标宋简体"/>
          <w:color w:val="000000"/>
          <w:sz w:val="72"/>
          <w:szCs w:val="72"/>
        </w:rPr>
        <w:t>城区广场服务中心</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s="方正小标宋简体"/>
          <w:color w:val="000000"/>
          <w:sz w:val="72"/>
          <w:szCs w:val="72"/>
        </w:rPr>
        <w:t>部门决算</w:t>
      </w:r>
      <w:bookmarkEnd w:id="6"/>
      <w:bookmarkEnd w:id="7"/>
      <w:bookmarkEnd w:id="8"/>
      <w:bookmarkEnd w:id="9"/>
      <w:bookmarkEnd w:id="10"/>
      <w:bookmarkEnd w:id="11"/>
    </w:p>
    <w:p>
      <w:pPr>
        <w:widowControl/>
        <w:jc w:val="center"/>
        <w:rPr>
          <w:rFonts w:ascii="方正小标宋简体" w:hAnsi="黑体" w:eastAsia="方正小标宋简体"/>
          <w:color w:val="000000"/>
          <w:sz w:val="72"/>
          <w:szCs w:val="72"/>
        </w:rPr>
      </w:pPr>
      <w:r>
        <w:rPr>
          <w:rFonts w:hint="eastAsia" w:ascii="方正小标宋简体" w:hAnsi="黑体" w:eastAsia="方正小标宋简体" w:cs="方正小标宋简体"/>
          <w:color w:val="000000"/>
          <w:sz w:val="72"/>
          <w:szCs w:val="72"/>
        </w:rPr>
        <w:t>编</w:t>
      </w:r>
    </w:p>
    <w:p>
      <w:pPr>
        <w:widowControl/>
        <w:jc w:val="center"/>
        <w:rPr>
          <w:rFonts w:ascii="方正小标宋简体" w:hAnsi="黑体" w:eastAsia="方正小标宋简体"/>
          <w:color w:val="000000"/>
          <w:sz w:val="72"/>
          <w:szCs w:val="72"/>
        </w:rPr>
      </w:pPr>
      <w:r>
        <w:rPr>
          <w:rFonts w:hint="eastAsia" w:ascii="方正小标宋简体" w:hAnsi="黑体" w:eastAsia="方正小标宋简体" w:cs="方正小标宋简体"/>
          <w:color w:val="000000"/>
          <w:sz w:val="72"/>
          <w:szCs w:val="72"/>
        </w:rPr>
        <w:t>制</w:t>
      </w:r>
    </w:p>
    <w:p>
      <w:pPr>
        <w:widowControl/>
        <w:jc w:val="center"/>
        <w:rPr>
          <w:rFonts w:ascii="方正小标宋简体" w:hAnsi="黑体" w:eastAsia="方正小标宋简体"/>
          <w:color w:val="000000"/>
          <w:sz w:val="72"/>
          <w:szCs w:val="72"/>
        </w:rPr>
      </w:pPr>
      <w:r>
        <w:rPr>
          <w:rFonts w:hint="eastAsia" w:ascii="方正小标宋简体" w:hAnsi="黑体" w:eastAsia="方正小标宋简体" w:cs="方正小标宋简体"/>
          <w:color w:val="000000"/>
          <w:sz w:val="72"/>
          <w:szCs w:val="72"/>
        </w:rPr>
        <w:t>说</w:t>
      </w:r>
    </w:p>
    <w:p>
      <w:pPr>
        <w:widowControl/>
        <w:jc w:val="center"/>
        <w:rPr>
          <w:rFonts w:ascii="方正小标宋简体" w:hAnsi="黑体" w:eastAsia="方正小标宋简体"/>
          <w:color w:val="000000"/>
          <w:sz w:val="72"/>
          <w:szCs w:val="72"/>
        </w:rPr>
        <w:sectPr>
          <w:headerReference r:id="rId5" w:type="first"/>
          <w:headerReference r:id="rId4" w:type="default"/>
          <w:footerReference r:id="rId6" w:type="default"/>
          <w:pgSz w:w="11906" w:h="16838"/>
          <w:pgMar w:top="1701" w:right="1474" w:bottom="1417" w:left="1587" w:header="851" w:footer="737" w:gutter="0"/>
          <w:pgNumType w:start="1"/>
          <w:cols w:space="720" w:num="1"/>
          <w:titlePg/>
          <w:docGrid w:type="lines" w:linePitch="312" w:charSpace="0"/>
        </w:sectPr>
      </w:pPr>
      <w:r>
        <w:rPr>
          <w:rFonts w:hint="eastAsia" w:ascii="方正小标宋简体" w:hAnsi="黑体" w:eastAsia="方正小标宋简体" w:cs="方正小标宋简体"/>
          <w:color w:val="000000"/>
          <w:sz w:val="72"/>
          <w:szCs w:val="72"/>
        </w:rPr>
        <w:t>明</w:t>
      </w:r>
    </w:p>
    <w:p>
      <w:pPr>
        <w:widowControl/>
        <w:jc w:val="center"/>
        <w:rPr>
          <w:rFonts w:ascii="黑体" w:hAnsi="黑体" w:eastAsia="黑体"/>
          <w:color w:val="000000"/>
          <w:sz w:val="48"/>
          <w:szCs w:val="48"/>
        </w:rPr>
      </w:pPr>
      <w:r>
        <w:rPr>
          <w:rFonts w:hint="eastAsia" w:ascii="黑体" w:hAnsi="黑体" w:eastAsia="黑体" w:cs="黑体"/>
          <w:color w:val="000000"/>
          <w:sz w:val="48"/>
          <w:szCs w:val="48"/>
        </w:rPr>
        <w:t>目</w:t>
      </w:r>
      <w:r>
        <w:rPr>
          <w:rFonts w:ascii="黑体" w:hAnsi="黑体" w:eastAsia="黑体" w:cs="黑体"/>
          <w:color w:val="000000"/>
          <w:sz w:val="48"/>
          <w:szCs w:val="48"/>
        </w:rPr>
        <w:t xml:space="preserve">  </w:t>
      </w:r>
      <w:r>
        <w:rPr>
          <w:rFonts w:hint="eastAsia" w:ascii="黑体" w:hAnsi="黑体" w:eastAsia="黑体" w:cs="黑体"/>
          <w:color w:val="000000"/>
          <w:sz w:val="48"/>
          <w:szCs w:val="48"/>
        </w:rPr>
        <w:t>录</w:t>
      </w:r>
    </w:p>
    <w:p>
      <w:pPr>
        <w:widowControl/>
        <w:jc w:val="center"/>
        <w:rPr>
          <w:rFonts w:ascii="黑体" w:hAnsi="黑体" w:eastAsia="黑体"/>
          <w:sz w:val="28"/>
          <w:szCs w:val="28"/>
        </w:rPr>
      </w:pPr>
    </w:p>
    <w:p>
      <w:pPr>
        <w:pStyle w:val="10"/>
        <w:rPr>
          <w:rFonts w:cs="Times New Roman"/>
        </w:rPr>
      </w:pPr>
      <w:r>
        <w:rPr>
          <w:rFonts w:hint="eastAsia"/>
        </w:rPr>
        <w:t>公开时间：</w:t>
      </w:r>
      <w:r>
        <w:t>2021</w:t>
      </w:r>
      <w:r>
        <w:rPr>
          <w:rFonts w:hint="eastAsia"/>
        </w:rPr>
        <w:t>年</w:t>
      </w:r>
      <w:r>
        <w:t>9</w:t>
      </w:r>
      <w:r>
        <w:rPr>
          <w:rFonts w:hint="eastAsia"/>
        </w:rPr>
        <w:t>月</w:t>
      </w:r>
      <w:r>
        <w:t>14</w:t>
      </w:r>
      <w:r>
        <w:rPr>
          <w:rFonts w:hint="eastAsia"/>
        </w:rPr>
        <w:t>日</w:t>
      </w:r>
    </w:p>
    <w:p/>
    <w:p>
      <w:pPr>
        <w:pStyle w:val="10"/>
        <w:adjustRightInd w:val="0"/>
        <w:snapToGrid w:val="0"/>
        <w:spacing w:before="0" w:line="560" w:lineRule="exact"/>
        <w:jc w:val="left"/>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第一部分</w:t>
      </w:r>
      <w:r>
        <w:rPr>
          <w:rFonts w:ascii="方正黑体简体" w:hAnsi="方正黑体简体" w:eastAsia="方正黑体简体" w:cs="方正黑体简体"/>
          <w:sz w:val="32"/>
          <w:szCs w:val="32"/>
        </w:rPr>
        <w:t xml:space="preserve"> </w:t>
      </w:r>
      <w:r>
        <w:rPr>
          <w:rFonts w:hint="eastAsia" w:ascii="方正黑体简体" w:hAnsi="方正黑体简体" w:eastAsia="方正黑体简体" w:cs="方正黑体简体"/>
          <w:sz w:val="32"/>
          <w:szCs w:val="32"/>
        </w:rPr>
        <w:t>部门概况</w:t>
      </w:r>
      <w:r>
        <w:rPr>
          <w:rFonts w:ascii="方正黑体简体" w:hAnsi="方正黑体简体" w:eastAsia="方正黑体简体" w:cs="Times New Roman"/>
          <w:sz w:val="32"/>
          <w:szCs w:val="32"/>
        </w:rPr>
        <w:tab/>
      </w:r>
      <w:r>
        <w:rPr>
          <w:rFonts w:ascii="方正黑体简体" w:hAnsi="方正黑体简体" w:eastAsia="方正黑体简体" w:cs="方正黑体简体"/>
          <w:sz w:val="32"/>
          <w:szCs w:val="32"/>
        </w:rPr>
        <w:t>3</w:t>
      </w:r>
    </w:p>
    <w:p>
      <w:pPr>
        <w:pStyle w:val="11"/>
        <w:adjustRightInd w:val="0"/>
        <w:snapToGrid w:val="0"/>
        <w:spacing w:line="560" w:lineRule="exact"/>
        <w:ind w:left="31680"/>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一、基本职能及主要工作</w:t>
      </w:r>
      <w:r>
        <w:rPr>
          <w:rFonts w:ascii="方正楷体简体" w:hAnsi="方正楷体简体" w:eastAsia="方正楷体简体"/>
          <w:sz w:val="32"/>
          <w:szCs w:val="32"/>
        </w:rPr>
        <w:tab/>
      </w:r>
      <w:r>
        <w:rPr>
          <w:rFonts w:ascii="方正楷体简体" w:hAnsi="方正楷体简体" w:eastAsia="方正楷体简体" w:cs="方正楷体简体"/>
          <w:sz w:val="32"/>
          <w:szCs w:val="32"/>
        </w:rPr>
        <w:t>3</w:t>
      </w:r>
    </w:p>
    <w:p>
      <w:pPr>
        <w:pStyle w:val="11"/>
        <w:adjustRightInd w:val="0"/>
        <w:snapToGrid w:val="0"/>
        <w:spacing w:line="560" w:lineRule="exact"/>
        <w:ind w:left="31680"/>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二、机构设置</w:t>
      </w:r>
      <w:r>
        <w:rPr>
          <w:rFonts w:ascii="方正楷体简体" w:hAnsi="方正楷体简体" w:eastAsia="方正楷体简体"/>
          <w:sz w:val="32"/>
          <w:szCs w:val="32"/>
        </w:rPr>
        <w:tab/>
      </w:r>
      <w:r>
        <w:rPr>
          <w:rFonts w:ascii="方正楷体简体" w:hAnsi="方正楷体简体" w:eastAsia="方正楷体简体" w:cs="方正楷体简体"/>
          <w:sz w:val="32"/>
          <w:szCs w:val="32"/>
        </w:rPr>
        <w:t>4</w:t>
      </w:r>
    </w:p>
    <w:p>
      <w:pPr>
        <w:pStyle w:val="10"/>
        <w:adjustRightInd w:val="0"/>
        <w:snapToGrid w:val="0"/>
        <w:spacing w:before="0" w:line="560" w:lineRule="exact"/>
        <w:jc w:val="left"/>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第二部分</w:t>
      </w:r>
      <w:r>
        <w:rPr>
          <w:rFonts w:ascii="方正黑体简体" w:hAnsi="方正黑体简体" w:eastAsia="方正黑体简体" w:cs="方正黑体简体"/>
          <w:sz w:val="32"/>
          <w:szCs w:val="32"/>
        </w:rPr>
        <w:t xml:space="preserve"> 2020</w:t>
      </w:r>
      <w:r>
        <w:rPr>
          <w:rFonts w:hint="eastAsia" w:ascii="方正黑体简体" w:hAnsi="方正黑体简体" w:eastAsia="方正黑体简体" w:cs="方正黑体简体"/>
          <w:sz w:val="32"/>
          <w:szCs w:val="32"/>
        </w:rPr>
        <w:t>年度部门决算情况说明</w:t>
      </w:r>
      <w:r>
        <w:rPr>
          <w:rFonts w:ascii="方正黑体简体" w:hAnsi="方正黑体简体" w:eastAsia="方正黑体简体" w:cs="Times New Roman"/>
          <w:sz w:val="32"/>
          <w:szCs w:val="32"/>
        </w:rPr>
        <w:tab/>
      </w:r>
      <w:r>
        <w:rPr>
          <w:rFonts w:ascii="方正黑体简体" w:hAnsi="方正黑体简体" w:eastAsia="方正黑体简体" w:cs="方正黑体简体"/>
          <w:sz w:val="32"/>
          <w:szCs w:val="32"/>
        </w:rPr>
        <w:t>5</w:t>
      </w:r>
    </w:p>
    <w:p>
      <w:pPr>
        <w:pStyle w:val="11"/>
        <w:adjustRightInd w:val="0"/>
        <w:snapToGrid w:val="0"/>
        <w:spacing w:line="560" w:lineRule="exact"/>
        <w:ind w:left="0" w:leftChars="0" w:firstLine="320" w:firstLineChars="100"/>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一、收入支出决算总体情况说明</w:t>
      </w:r>
      <w:r>
        <w:rPr>
          <w:rFonts w:ascii="方正楷体简体" w:hAnsi="方正楷体简体" w:eastAsia="方正楷体简体"/>
          <w:sz w:val="32"/>
          <w:szCs w:val="32"/>
        </w:rPr>
        <w:tab/>
      </w:r>
      <w:r>
        <w:rPr>
          <w:rFonts w:ascii="方正楷体简体" w:hAnsi="方正楷体简体" w:eastAsia="方正楷体简体" w:cs="方正楷体简体"/>
          <w:sz w:val="32"/>
          <w:szCs w:val="32"/>
        </w:rPr>
        <w:t>5</w:t>
      </w:r>
    </w:p>
    <w:p>
      <w:pPr>
        <w:pStyle w:val="11"/>
        <w:adjustRightInd w:val="0"/>
        <w:snapToGrid w:val="0"/>
        <w:spacing w:line="560" w:lineRule="exact"/>
        <w:ind w:left="0" w:leftChars="0" w:firstLine="320" w:firstLineChars="100"/>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二、收入决算情况说明</w:t>
      </w:r>
      <w:r>
        <w:rPr>
          <w:rFonts w:ascii="方正楷体简体" w:hAnsi="方正楷体简体" w:eastAsia="方正楷体简体"/>
          <w:sz w:val="32"/>
          <w:szCs w:val="32"/>
        </w:rPr>
        <w:tab/>
      </w:r>
      <w:r>
        <w:rPr>
          <w:rFonts w:ascii="方正楷体简体" w:hAnsi="方正楷体简体" w:eastAsia="方正楷体简体" w:cs="方正楷体简体"/>
          <w:sz w:val="32"/>
          <w:szCs w:val="32"/>
        </w:rPr>
        <w:t>5</w:t>
      </w:r>
    </w:p>
    <w:p>
      <w:pPr>
        <w:pStyle w:val="11"/>
        <w:adjustRightInd w:val="0"/>
        <w:snapToGrid w:val="0"/>
        <w:spacing w:line="560" w:lineRule="exact"/>
        <w:ind w:left="0" w:leftChars="0" w:firstLine="320" w:firstLineChars="100"/>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三、支出决算情况说明</w:t>
      </w:r>
      <w:r>
        <w:rPr>
          <w:rFonts w:ascii="方正楷体简体" w:hAnsi="方正楷体简体" w:eastAsia="方正楷体简体"/>
          <w:sz w:val="32"/>
          <w:szCs w:val="32"/>
        </w:rPr>
        <w:tab/>
      </w:r>
      <w:r>
        <w:rPr>
          <w:rFonts w:ascii="方正楷体简体" w:hAnsi="方正楷体简体" w:eastAsia="方正楷体简体" w:cs="方正楷体简体"/>
          <w:sz w:val="32"/>
          <w:szCs w:val="32"/>
        </w:rPr>
        <w:t>5</w:t>
      </w:r>
    </w:p>
    <w:p>
      <w:pPr>
        <w:pStyle w:val="11"/>
        <w:adjustRightInd w:val="0"/>
        <w:snapToGrid w:val="0"/>
        <w:spacing w:line="560" w:lineRule="exact"/>
        <w:ind w:left="0" w:leftChars="0" w:firstLine="320" w:firstLineChars="100"/>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四、财政拨款收入支出决算总体情况说明</w:t>
      </w:r>
      <w:r>
        <w:rPr>
          <w:rFonts w:ascii="方正楷体简体" w:hAnsi="方正楷体简体" w:eastAsia="方正楷体简体"/>
          <w:sz w:val="32"/>
          <w:szCs w:val="32"/>
        </w:rPr>
        <w:tab/>
      </w:r>
      <w:r>
        <w:rPr>
          <w:rFonts w:ascii="方正楷体简体" w:hAnsi="方正楷体简体" w:eastAsia="方正楷体简体" w:cs="方正楷体简体"/>
          <w:sz w:val="32"/>
          <w:szCs w:val="32"/>
        </w:rPr>
        <w:t>5</w:t>
      </w:r>
    </w:p>
    <w:p>
      <w:pPr>
        <w:pStyle w:val="11"/>
        <w:adjustRightInd w:val="0"/>
        <w:snapToGrid w:val="0"/>
        <w:spacing w:line="560" w:lineRule="exact"/>
        <w:ind w:left="0" w:leftChars="0" w:firstLine="320" w:firstLineChars="100"/>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五、一般公共预算财政拨款支出决算情况说明</w:t>
      </w:r>
      <w:r>
        <w:rPr>
          <w:rFonts w:ascii="方正楷体简体" w:hAnsi="方正楷体简体" w:eastAsia="方正楷体简体"/>
          <w:sz w:val="32"/>
          <w:szCs w:val="32"/>
        </w:rPr>
        <w:tab/>
      </w:r>
      <w:r>
        <w:rPr>
          <w:rFonts w:ascii="方正楷体简体" w:hAnsi="方正楷体简体" w:eastAsia="方正楷体简体" w:cs="方正楷体简体"/>
          <w:sz w:val="32"/>
          <w:szCs w:val="32"/>
        </w:rPr>
        <w:t>5</w:t>
      </w:r>
    </w:p>
    <w:p>
      <w:pPr>
        <w:pStyle w:val="11"/>
        <w:adjustRightInd w:val="0"/>
        <w:snapToGrid w:val="0"/>
        <w:spacing w:line="560" w:lineRule="exact"/>
        <w:ind w:left="0" w:leftChars="0" w:firstLine="320" w:firstLineChars="100"/>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六、一般公共预算财政拨款基本支出决算情况说明</w:t>
      </w:r>
      <w:r>
        <w:rPr>
          <w:rFonts w:ascii="方正楷体简体" w:hAnsi="方正楷体简体" w:eastAsia="方正楷体简体"/>
          <w:sz w:val="32"/>
          <w:szCs w:val="32"/>
        </w:rPr>
        <w:tab/>
      </w:r>
      <w:r>
        <w:rPr>
          <w:rFonts w:ascii="方正楷体简体" w:hAnsi="方正楷体简体" w:eastAsia="方正楷体简体" w:cs="方正楷体简体"/>
          <w:sz w:val="32"/>
          <w:szCs w:val="32"/>
        </w:rPr>
        <w:t>7</w:t>
      </w:r>
    </w:p>
    <w:p>
      <w:pPr>
        <w:pStyle w:val="11"/>
        <w:adjustRightInd w:val="0"/>
        <w:snapToGrid w:val="0"/>
        <w:spacing w:line="560" w:lineRule="exact"/>
        <w:ind w:left="0" w:leftChars="0" w:firstLine="320" w:firstLineChars="100"/>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七、“三公”经费财政拨款支出决算情况说明</w:t>
      </w:r>
      <w:r>
        <w:rPr>
          <w:rFonts w:ascii="方正楷体简体" w:hAnsi="方正楷体简体" w:eastAsia="方正楷体简体"/>
          <w:sz w:val="32"/>
          <w:szCs w:val="32"/>
        </w:rPr>
        <w:tab/>
      </w:r>
      <w:r>
        <w:rPr>
          <w:rFonts w:ascii="方正楷体简体" w:hAnsi="方正楷体简体" w:eastAsia="方正楷体简体" w:cs="方正楷体简体"/>
          <w:sz w:val="32"/>
          <w:szCs w:val="32"/>
        </w:rPr>
        <w:t>7</w:t>
      </w:r>
    </w:p>
    <w:p>
      <w:pPr>
        <w:pStyle w:val="11"/>
        <w:adjustRightInd w:val="0"/>
        <w:snapToGrid w:val="0"/>
        <w:spacing w:line="560" w:lineRule="exact"/>
        <w:ind w:left="0" w:leftChars="0" w:firstLine="320" w:firstLineChars="100"/>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八、政府性基金预算支出决算情况说明</w:t>
      </w:r>
      <w:r>
        <w:rPr>
          <w:rFonts w:ascii="方正楷体简体" w:hAnsi="方正楷体简体" w:eastAsia="方正楷体简体"/>
          <w:sz w:val="32"/>
          <w:szCs w:val="32"/>
        </w:rPr>
        <w:tab/>
      </w:r>
      <w:r>
        <w:rPr>
          <w:rFonts w:ascii="方正楷体简体" w:hAnsi="方正楷体简体" w:eastAsia="方正楷体简体" w:cs="方正楷体简体"/>
          <w:sz w:val="32"/>
          <w:szCs w:val="32"/>
        </w:rPr>
        <w:t>8</w:t>
      </w:r>
    </w:p>
    <w:p>
      <w:pPr>
        <w:pStyle w:val="11"/>
        <w:adjustRightInd w:val="0"/>
        <w:snapToGrid w:val="0"/>
        <w:spacing w:line="560" w:lineRule="exact"/>
        <w:ind w:left="0" w:leftChars="0" w:firstLine="320" w:firstLineChars="100"/>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九、国有资本经营预算支出决算情况说明</w:t>
      </w:r>
      <w:r>
        <w:rPr>
          <w:rFonts w:ascii="方正楷体简体" w:hAnsi="方正楷体简体" w:eastAsia="方正楷体简体"/>
          <w:sz w:val="32"/>
          <w:szCs w:val="32"/>
        </w:rPr>
        <w:tab/>
      </w:r>
      <w:r>
        <w:rPr>
          <w:rFonts w:ascii="方正楷体简体" w:hAnsi="方正楷体简体" w:eastAsia="方正楷体简体" w:cs="方正楷体简体"/>
          <w:sz w:val="32"/>
          <w:szCs w:val="32"/>
        </w:rPr>
        <w:t>9</w:t>
      </w:r>
    </w:p>
    <w:p>
      <w:pPr>
        <w:pStyle w:val="11"/>
        <w:adjustRightInd w:val="0"/>
        <w:snapToGrid w:val="0"/>
        <w:spacing w:line="560" w:lineRule="exact"/>
        <w:ind w:left="0" w:leftChars="0" w:firstLine="320" w:firstLineChars="100"/>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十、其他重要事项的情况说明</w:t>
      </w:r>
      <w:r>
        <w:rPr>
          <w:rFonts w:ascii="方正楷体简体" w:hAnsi="方正楷体简体" w:eastAsia="方正楷体简体"/>
          <w:sz w:val="32"/>
          <w:szCs w:val="32"/>
        </w:rPr>
        <w:tab/>
      </w:r>
      <w:r>
        <w:rPr>
          <w:rFonts w:ascii="方正楷体简体" w:hAnsi="方正楷体简体" w:eastAsia="方正楷体简体" w:cs="方正楷体简体"/>
          <w:sz w:val="32"/>
          <w:szCs w:val="32"/>
        </w:rPr>
        <w:t>9</w:t>
      </w:r>
    </w:p>
    <w:p>
      <w:pPr>
        <w:pStyle w:val="10"/>
        <w:adjustRightInd w:val="0"/>
        <w:snapToGrid w:val="0"/>
        <w:spacing w:before="0" w:line="560" w:lineRule="exact"/>
        <w:jc w:val="left"/>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第三部分</w:t>
      </w:r>
      <w:r>
        <w:rPr>
          <w:rFonts w:ascii="方正黑体简体" w:hAnsi="方正黑体简体" w:eastAsia="方正黑体简体" w:cs="方正黑体简体"/>
          <w:sz w:val="32"/>
          <w:szCs w:val="32"/>
        </w:rPr>
        <w:t xml:space="preserve"> </w:t>
      </w:r>
      <w:r>
        <w:rPr>
          <w:rFonts w:hint="eastAsia" w:ascii="方正黑体简体" w:hAnsi="方正黑体简体" w:eastAsia="方正黑体简体" w:cs="方正黑体简体"/>
          <w:sz w:val="32"/>
          <w:szCs w:val="32"/>
        </w:rPr>
        <w:t>名词解释</w:t>
      </w:r>
      <w:r>
        <w:rPr>
          <w:rFonts w:ascii="方正黑体简体" w:hAnsi="方正黑体简体" w:eastAsia="方正黑体简体" w:cs="Times New Roman"/>
          <w:sz w:val="32"/>
          <w:szCs w:val="32"/>
        </w:rPr>
        <w:tab/>
      </w:r>
      <w:r>
        <w:rPr>
          <w:rFonts w:ascii="方正黑体简体" w:hAnsi="方正黑体简体" w:eastAsia="方正黑体简体" w:cs="方正黑体简体"/>
          <w:sz w:val="32"/>
          <w:szCs w:val="32"/>
        </w:rPr>
        <w:t>11</w:t>
      </w:r>
    </w:p>
    <w:p>
      <w:pPr>
        <w:pStyle w:val="10"/>
        <w:adjustRightInd w:val="0"/>
        <w:snapToGrid w:val="0"/>
        <w:spacing w:before="0" w:line="560" w:lineRule="exact"/>
        <w:jc w:val="left"/>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第四部分</w:t>
      </w:r>
      <w:r>
        <w:rPr>
          <w:rFonts w:ascii="方正黑体简体" w:hAnsi="方正黑体简体" w:eastAsia="方正黑体简体" w:cs="方正黑体简体"/>
          <w:sz w:val="32"/>
          <w:szCs w:val="32"/>
        </w:rPr>
        <w:t xml:space="preserve"> </w:t>
      </w:r>
      <w:r>
        <w:rPr>
          <w:rFonts w:hint="eastAsia" w:ascii="方正黑体简体" w:hAnsi="方正黑体简体" w:eastAsia="方正黑体简体" w:cs="方正黑体简体"/>
          <w:sz w:val="32"/>
          <w:szCs w:val="32"/>
        </w:rPr>
        <w:t>附件</w:t>
      </w:r>
      <w:r>
        <w:rPr>
          <w:rFonts w:ascii="方正黑体简体" w:hAnsi="方正黑体简体" w:eastAsia="方正黑体简体" w:cs="Times New Roman"/>
          <w:sz w:val="32"/>
          <w:szCs w:val="32"/>
        </w:rPr>
        <w:tab/>
      </w:r>
      <w:r>
        <w:rPr>
          <w:rFonts w:ascii="方正黑体简体" w:hAnsi="方正黑体简体" w:eastAsia="方正黑体简体" w:cs="方正黑体简体"/>
          <w:sz w:val="32"/>
          <w:szCs w:val="32"/>
        </w:rPr>
        <w:t>13</w:t>
      </w:r>
    </w:p>
    <w:p>
      <w:pPr>
        <w:pStyle w:val="11"/>
        <w:adjustRightInd w:val="0"/>
        <w:snapToGrid w:val="0"/>
        <w:spacing w:line="560" w:lineRule="exact"/>
        <w:ind w:left="0" w:leftChars="0" w:firstLine="320" w:firstLineChars="100"/>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附件</w:t>
      </w:r>
      <w:r>
        <w:rPr>
          <w:rFonts w:ascii="方正楷体简体" w:hAnsi="方正楷体简体" w:eastAsia="方正楷体简体" w:cs="方正楷体简体"/>
          <w:sz w:val="32"/>
          <w:szCs w:val="32"/>
        </w:rPr>
        <w:t>1</w:t>
      </w:r>
      <w:r>
        <w:rPr>
          <w:rFonts w:ascii="方正楷体简体" w:hAnsi="方正楷体简体" w:eastAsia="方正楷体简体" w:cs="方正楷体简体"/>
          <w:sz w:val="32"/>
          <w:szCs w:val="32"/>
        </w:rPr>
        <w:tab/>
      </w:r>
      <w:r>
        <w:rPr>
          <w:rFonts w:ascii="方正楷体简体" w:hAnsi="方正楷体简体" w:eastAsia="方正楷体简体" w:cs="方正楷体简体"/>
          <w:sz w:val="32"/>
          <w:szCs w:val="32"/>
        </w:rPr>
        <w:t>13</w:t>
      </w:r>
    </w:p>
    <w:p>
      <w:pPr>
        <w:pStyle w:val="10"/>
        <w:adjustRightInd w:val="0"/>
        <w:snapToGrid w:val="0"/>
        <w:spacing w:before="0" w:line="560" w:lineRule="exact"/>
        <w:jc w:val="left"/>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第五部分</w:t>
      </w:r>
      <w:r>
        <w:rPr>
          <w:rFonts w:ascii="方正黑体简体" w:hAnsi="方正黑体简体" w:eastAsia="方正黑体简体" w:cs="方正黑体简体"/>
          <w:sz w:val="32"/>
          <w:szCs w:val="32"/>
        </w:rPr>
        <w:t xml:space="preserve"> </w:t>
      </w:r>
      <w:r>
        <w:rPr>
          <w:rFonts w:hint="eastAsia" w:ascii="方正黑体简体" w:hAnsi="方正黑体简体" w:eastAsia="方正黑体简体" w:cs="方正黑体简体"/>
          <w:sz w:val="32"/>
          <w:szCs w:val="32"/>
        </w:rPr>
        <w:t>附表</w:t>
      </w:r>
      <w:r>
        <w:rPr>
          <w:rFonts w:ascii="方正黑体简体" w:hAnsi="方正黑体简体" w:eastAsia="方正黑体简体" w:cs="Times New Roman"/>
          <w:sz w:val="32"/>
          <w:szCs w:val="32"/>
        </w:rPr>
        <w:tab/>
      </w:r>
      <w:r>
        <w:rPr>
          <w:rFonts w:ascii="方正黑体简体" w:hAnsi="方正黑体简体" w:eastAsia="方正黑体简体" w:cs="方正黑体简体"/>
          <w:sz w:val="32"/>
          <w:szCs w:val="32"/>
        </w:rPr>
        <w:t>16</w:t>
      </w:r>
    </w:p>
    <w:p>
      <w:pPr>
        <w:pStyle w:val="11"/>
        <w:adjustRightInd w:val="0"/>
        <w:snapToGrid w:val="0"/>
        <w:spacing w:line="560" w:lineRule="exact"/>
        <w:ind w:left="0" w:leftChars="0" w:firstLine="320" w:firstLineChars="100"/>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一、收入支出决算总表</w:t>
      </w:r>
      <w:r>
        <w:rPr>
          <w:rFonts w:ascii="方正楷体简体" w:hAnsi="方正楷体简体" w:eastAsia="方正楷体简体"/>
          <w:sz w:val="32"/>
          <w:szCs w:val="32"/>
        </w:rPr>
        <w:tab/>
      </w:r>
      <w:r>
        <w:rPr>
          <w:rFonts w:ascii="方正楷体简体" w:hAnsi="方正楷体简体" w:eastAsia="方正楷体简体" w:cs="方正楷体简体"/>
          <w:sz w:val="32"/>
          <w:szCs w:val="32"/>
        </w:rPr>
        <w:t>16</w:t>
      </w:r>
    </w:p>
    <w:p>
      <w:pPr>
        <w:pStyle w:val="11"/>
        <w:adjustRightInd w:val="0"/>
        <w:snapToGrid w:val="0"/>
        <w:spacing w:line="560" w:lineRule="exact"/>
        <w:ind w:left="0" w:leftChars="0" w:firstLine="320" w:firstLineChars="100"/>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二、收入决算表</w:t>
      </w:r>
      <w:r>
        <w:rPr>
          <w:rFonts w:ascii="方正楷体简体" w:hAnsi="方正楷体简体" w:eastAsia="方正楷体简体"/>
          <w:sz w:val="32"/>
          <w:szCs w:val="32"/>
        </w:rPr>
        <w:tab/>
      </w:r>
      <w:r>
        <w:rPr>
          <w:rFonts w:ascii="方正楷体简体" w:hAnsi="方正楷体简体" w:eastAsia="方正楷体简体" w:cs="方正楷体简体"/>
          <w:sz w:val="32"/>
          <w:szCs w:val="32"/>
        </w:rPr>
        <w:t>16</w:t>
      </w:r>
    </w:p>
    <w:p>
      <w:pPr>
        <w:pStyle w:val="11"/>
        <w:adjustRightInd w:val="0"/>
        <w:snapToGrid w:val="0"/>
        <w:spacing w:line="560" w:lineRule="exact"/>
        <w:ind w:left="0" w:leftChars="0" w:firstLine="320" w:firstLineChars="100"/>
        <w:jc w:val="left"/>
        <w:rPr>
          <w:rFonts w:ascii="方正楷体简体" w:hAnsi="方正楷体简体" w:eastAsia="方正楷体简体" w:cs="方正楷体简体"/>
          <w:sz w:val="32"/>
          <w:szCs w:val="32"/>
        </w:rPr>
        <w:sectPr>
          <w:footerReference r:id="rId8" w:type="first"/>
          <w:footerReference r:id="rId7" w:type="default"/>
          <w:pgSz w:w="11906" w:h="16838"/>
          <w:pgMar w:top="1701" w:right="1474" w:bottom="1417" w:left="1587" w:header="851" w:footer="737" w:gutter="0"/>
          <w:pgNumType w:start="1"/>
          <w:cols w:space="720" w:num="1"/>
          <w:titlePg/>
          <w:docGrid w:type="lines" w:linePitch="312" w:charSpace="0"/>
        </w:sectPr>
      </w:pPr>
    </w:p>
    <w:p>
      <w:pPr>
        <w:pStyle w:val="11"/>
        <w:adjustRightInd w:val="0"/>
        <w:snapToGrid w:val="0"/>
        <w:spacing w:line="560" w:lineRule="exact"/>
        <w:ind w:left="0" w:leftChars="0" w:firstLine="320" w:firstLineChars="100"/>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三、支出决算表</w:t>
      </w:r>
      <w:r>
        <w:rPr>
          <w:rFonts w:ascii="方正楷体简体" w:hAnsi="方正楷体简体" w:eastAsia="方正楷体简体"/>
          <w:sz w:val="32"/>
          <w:szCs w:val="32"/>
        </w:rPr>
        <w:tab/>
      </w:r>
      <w:r>
        <w:rPr>
          <w:rFonts w:ascii="方正楷体简体" w:hAnsi="方正楷体简体" w:eastAsia="方正楷体简体" w:cs="方正楷体简体"/>
          <w:sz w:val="32"/>
          <w:szCs w:val="32"/>
        </w:rPr>
        <w:t>16</w:t>
      </w:r>
    </w:p>
    <w:p>
      <w:pPr>
        <w:pStyle w:val="11"/>
        <w:adjustRightInd w:val="0"/>
        <w:snapToGrid w:val="0"/>
        <w:spacing w:line="560" w:lineRule="exact"/>
        <w:ind w:left="0" w:leftChars="0" w:firstLine="320" w:firstLineChars="100"/>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四、财政拨款收入支出决算总表</w:t>
      </w:r>
      <w:r>
        <w:rPr>
          <w:rFonts w:ascii="方正楷体简体" w:hAnsi="方正楷体简体" w:eastAsia="方正楷体简体"/>
          <w:sz w:val="32"/>
          <w:szCs w:val="32"/>
        </w:rPr>
        <w:tab/>
      </w:r>
      <w:r>
        <w:rPr>
          <w:rFonts w:ascii="方正楷体简体" w:hAnsi="方正楷体简体" w:eastAsia="方正楷体简体" w:cs="方正楷体简体"/>
          <w:sz w:val="32"/>
          <w:szCs w:val="32"/>
        </w:rPr>
        <w:t>16</w:t>
      </w:r>
    </w:p>
    <w:p>
      <w:pPr>
        <w:pStyle w:val="11"/>
        <w:adjustRightInd w:val="0"/>
        <w:snapToGrid w:val="0"/>
        <w:spacing w:line="560" w:lineRule="exact"/>
        <w:ind w:left="0" w:leftChars="0" w:firstLine="320" w:firstLineChars="100"/>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五、财政拨款支出决算明细表</w:t>
      </w:r>
      <w:r>
        <w:rPr>
          <w:rFonts w:ascii="方正楷体简体" w:hAnsi="方正楷体简体" w:eastAsia="方正楷体简体"/>
          <w:sz w:val="32"/>
          <w:szCs w:val="32"/>
        </w:rPr>
        <w:tab/>
      </w:r>
      <w:r>
        <w:rPr>
          <w:rFonts w:ascii="方正楷体简体" w:hAnsi="方正楷体简体" w:eastAsia="方正楷体简体" w:cs="方正楷体简体"/>
          <w:sz w:val="32"/>
          <w:szCs w:val="32"/>
        </w:rPr>
        <w:t>16</w:t>
      </w:r>
    </w:p>
    <w:p>
      <w:pPr>
        <w:pStyle w:val="11"/>
        <w:adjustRightInd w:val="0"/>
        <w:snapToGrid w:val="0"/>
        <w:spacing w:line="560" w:lineRule="exact"/>
        <w:ind w:left="0" w:leftChars="0" w:firstLine="320" w:firstLineChars="100"/>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六、一般公共预算财政拨款支出决算表</w:t>
      </w:r>
      <w:r>
        <w:rPr>
          <w:rFonts w:ascii="方正楷体简体" w:hAnsi="方正楷体简体" w:eastAsia="方正楷体简体"/>
          <w:sz w:val="32"/>
          <w:szCs w:val="32"/>
        </w:rPr>
        <w:tab/>
      </w:r>
      <w:r>
        <w:rPr>
          <w:rFonts w:ascii="方正楷体简体" w:hAnsi="方正楷体简体" w:eastAsia="方正楷体简体" w:cs="方正楷体简体"/>
          <w:sz w:val="32"/>
          <w:szCs w:val="32"/>
        </w:rPr>
        <w:t>16</w:t>
      </w:r>
    </w:p>
    <w:p>
      <w:pPr>
        <w:pStyle w:val="11"/>
        <w:adjustRightInd w:val="0"/>
        <w:snapToGrid w:val="0"/>
        <w:spacing w:line="560" w:lineRule="exact"/>
        <w:ind w:left="0" w:leftChars="0" w:firstLine="320" w:firstLineChars="100"/>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七、一般公共预算财政拨款支出决算明细表</w:t>
      </w:r>
      <w:r>
        <w:rPr>
          <w:rFonts w:ascii="方正楷体简体" w:hAnsi="方正楷体简体" w:eastAsia="方正楷体简体"/>
          <w:sz w:val="32"/>
          <w:szCs w:val="32"/>
        </w:rPr>
        <w:tab/>
      </w:r>
      <w:r>
        <w:rPr>
          <w:rFonts w:ascii="方正楷体简体" w:hAnsi="方正楷体简体" w:eastAsia="方正楷体简体" w:cs="方正楷体简体"/>
          <w:sz w:val="32"/>
          <w:szCs w:val="32"/>
        </w:rPr>
        <w:t>16</w:t>
      </w:r>
    </w:p>
    <w:p>
      <w:pPr>
        <w:pStyle w:val="11"/>
        <w:adjustRightInd w:val="0"/>
        <w:snapToGrid w:val="0"/>
        <w:spacing w:line="560" w:lineRule="exact"/>
        <w:ind w:left="0" w:leftChars="0" w:firstLine="320" w:firstLineChars="100"/>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八、一般公共预算财政拨款基本支出决算表</w:t>
      </w:r>
      <w:r>
        <w:rPr>
          <w:rFonts w:ascii="方正楷体简体" w:hAnsi="方正楷体简体" w:eastAsia="方正楷体简体"/>
          <w:sz w:val="32"/>
          <w:szCs w:val="32"/>
        </w:rPr>
        <w:tab/>
      </w:r>
      <w:r>
        <w:rPr>
          <w:rFonts w:ascii="方正楷体简体" w:hAnsi="方正楷体简体" w:eastAsia="方正楷体简体" w:cs="方正楷体简体"/>
          <w:sz w:val="32"/>
          <w:szCs w:val="32"/>
        </w:rPr>
        <w:t>16</w:t>
      </w:r>
    </w:p>
    <w:p>
      <w:pPr>
        <w:pStyle w:val="11"/>
        <w:adjustRightInd w:val="0"/>
        <w:snapToGrid w:val="0"/>
        <w:spacing w:line="560" w:lineRule="exact"/>
        <w:ind w:left="0" w:leftChars="0" w:firstLine="320" w:firstLineChars="100"/>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九、一般公共预算财政拨款项目支出决算表</w:t>
      </w:r>
      <w:r>
        <w:rPr>
          <w:rFonts w:ascii="方正楷体简体" w:hAnsi="方正楷体简体" w:eastAsia="方正楷体简体"/>
          <w:sz w:val="32"/>
          <w:szCs w:val="32"/>
        </w:rPr>
        <w:tab/>
      </w:r>
      <w:r>
        <w:rPr>
          <w:rFonts w:ascii="方正楷体简体" w:hAnsi="方正楷体简体" w:eastAsia="方正楷体简体" w:cs="方正楷体简体"/>
          <w:sz w:val="32"/>
          <w:szCs w:val="32"/>
        </w:rPr>
        <w:t>16</w:t>
      </w:r>
    </w:p>
    <w:p>
      <w:pPr>
        <w:pStyle w:val="11"/>
        <w:adjustRightInd w:val="0"/>
        <w:snapToGrid w:val="0"/>
        <w:spacing w:line="560" w:lineRule="exact"/>
        <w:ind w:left="0" w:leftChars="0" w:firstLine="320" w:firstLineChars="100"/>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十、一般公共预算财政拨款“三公”经费支出决算表</w:t>
      </w:r>
      <w:r>
        <w:rPr>
          <w:rFonts w:ascii="方正楷体简体" w:hAnsi="方正楷体简体" w:eastAsia="方正楷体简体"/>
          <w:sz w:val="32"/>
          <w:szCs w:val="32"/>
        </w:rPr>
        <w:tab/>
      </w:r>
      <w:r>
        <w:rPr>
          <w:rFonts w:ascii="方正楷体简体" w:hAnsi="方正楷体简体" w:eastAsia="方正楷体简体" w:cs="方正楷体简体"/>
          <w:sz w:val="32"/>
          <w:szCs w:val="32"/>
        </w:rPr>
        <w:t>16</w:t>
      </w:r>
    </w:p>
    <w:p>
      <w:pPr>
        <w:pStyle w:val="11"/>
        <w:adjustRightInd w:val="0"/>
        <w:snapToGrid w:val="0"/>
        <w:spacing w:line="560" w:lineRule="exact"/>
        <w:ind w:left="0" w:leftChars="0" w:firstLine="320" w:firstLineChars="100"/>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十一、政府性基金预算财政拨款收入支出决算表</w:t>
      </w:r>
      <w:r>
        <w:rPr>
          <w:rFonts w:ascii="方正楷体简体" w:hAnsi="方正楷体简体" w:eastAsia="方正楷体简体"/>
          <w:sz w:val="32"/>
          <w:szCs w:val="32"/>
        </w:rPr>
        <w:tab/>
      </w:r>
      <w:r>
        <w:rPr>
          <w:rFonts w:ascii="方正楷体简体" w:hAnsi="方正楷体简体" w:eastAsia="方正楷体简体" w:cs="方正楷体简体"/>
          <w:sz w:val="32"/>
          <w:szCs w:val="32"/>
        </w:rPr>
        <w:t>16</w:t>
      </w:r>
    </w:p>
    <w:p>
      <w:pPr>
        <w:pStyle w:val="11"/>
        <w:adjustRightInd w:val="0"/>
        <w:snapToGrid w:val="0"/>
        <w:spacing w:line="560" w:lineRule="exact"/>
        <w:ind w:left="0" w:leftChars="0" w:firstLine="320" w:firstLineChars="100"/>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十二、</w:t>
      </w:r>
      <w:r>
        <w:rPr>
          <w:rFonts w:hint="eastAsia" w:ascii="方正楷体简体" w:hAnsi="方正楷体简体" w:eastAsia="方正楷体简体" w:cs="方正楷体简体"/>
          <w:spacing w:val="-9"/>
          <w:sz w:val="32"/>
          <w:szCs w:val="32"/>
        </w:rPr>
        <w:t>政府性基金预算财政拨款“三公”经费支出决算表</w:t>
      </w:r>
      <w:r>
        <w:rPr>
          <w:rFonts w:ascii="方正楷体简体" w:hAnsi="方正楷体简体" w:eastAsia="方正楷体简体"/>
          <w:sz w:val="32"/>
          <w:szCs w:val="32"/>
        </w:rPr>
        <w:tab/>
      </w:r>
      <w:r>
        <w:rPr>
          <w:rFonts w:ascii="方正楷体简体" w:hAnsi="方正楷体简体" w:eastAsia="方正楷体简体" w:cs="方正楷体简体"/>
          <w:sz w:val="32"/>
          <w:szCs w:val="32"/>
        </w:rPr>
        <w:t>16</w:t>
      </w:r>
    </w:p>
    <w:p>
      <w:pPr>
        <w:pStyle w:val="11"/>
        <w:adjustRightInd w:val="0"/>
        <w:snapToGrid w:val="0"/>
        <w:spacing w:line="560" w:lineRule="exact"/>
        <w:ind w:left="0" w:leftChars="0" w:firstLine="320" w:firstLineChars="100"/>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十三、国有资本经营预算财政拨款收入支出决算表</w:t>
      </w:r>
      <w:r>
        <w:rPr>
          <w:rFonts w:ascii="方正楷体简体" w:hAnsi="方正楷体简体" w:eastAsia="方正楷体简体"/>
          <w:sz w:val="32"/>
          <w:szCs w:val="32"/>
        </w:rPr>
        <w:tab/>
      </w:r>
      <w:r>
        <w:rPr>
          <w:rFonts w:ascii="方正楷体简体" w:hAnsi="方正楷体简体" w:eastAsia="方正楷体简体" w:cs="方正楷体简体"/>
          <w:sz w:val="32"/>
          <w:szCs w:val="32"/>
        </w:rPr>
        <w:t>16</w:t>
      </w:r>
    </w:p>
    <w:p>
      <w:pPr>
        <w:pStyle w:val="11"/>
        <w:adjustRightInd w:val="0"/>
        <w:snapToGrid w:val="0"/>
        <w:spacing w:line="560" w:lineRule="exact"/>
        <w:ind w:left="0" w:leftChars="0" w:firstLine="320" w:firstLineChars="100"/>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十四、国有资本经营预算财政拨款支出决算表</w:t>
      </w:r>
      <w:r>
        <w:rPr>
          <w:rFonts w:ascii="方正楷体简体" w:hAnsi="方正楷体简体" w:eastAsia="方正楷体简体"/>
          <w:sz w:val="32"/>
          <w:szCs w:val="32"/>
        </w:rPr>
        <w:tab/>
      </w:r>
      <w:r>
        <w:rPr>
          <w:rFonts w:ascii="方正楷体简体" w:hAnsi="方正楷体简体" w:eastAsia="方正楷体简体" w:cs="方正楷体简体"/>
          <w:sz w:val="32"/>
          <w:szCs w:val="32"/>
        </w:rPr>
        <w:t>16</w:t>
      </w:r>
    </w:p>
    <w:p>
      <w:pPr>
        <w:spacing w:line="700" w:lineRule="exact"/>
        <w:jc w:val="center"/>
        <w:rPr>
          <w:rFonts w:ascii="方正小标宋简体" w:hAnsi="方正小标宋简体" w:eastAsia="方正小标宋简体"/>
          <w:sz w:val="44"/>
          <w:szCs w:val="44"/>
        </w:rPr>
        <w:sectPr>
          <w:footerReference r:id="rId9" w:type="default"/>
          <w:pgSz w:w="11906" w:h="16838"/>
          <w:pgMar w:top="1701" w:right="1474" w:bottom="1417" w:left="1587" w:header="851" w:footer="737" w:gutter="0"/>
          <w:pgNumType w:start="1"/>
          <w:cols w:space="720" w:num="1"/>
          <w:docGrid w:type="lines" w:linePitch="312" w:charSpace="0"/>
        </w:sectPr>
      </w:pPr>
      <w:bookmarkStart w:id="12" w:name="_Toc15396599"/>
      <w:bookmarkStart w:id="13" w:name="_Toc15377196"/>
    </w:p>
    <w:p>
      <w:pPr>
        <w:spacing w:line="700" w:lineRule="exact"/>
        <w:jc w:val="center"/>
        <w:rPr>
          <w:rFonts w:ascii="方正小标宋简体" w:hAnsi="方正小标宋简体" w:eastAsia="方正小标宋简体"/>
          <w:sz w:val="44"/>
          <w:szCs w:val="44"/>
        </w:rPr>
      </w:pPr>
    </w:p>
    <w:p>
      <w:pPr>
        <w:spacing w:line="70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第一部分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部门概况</w:t>
      </w:r>
      <w:bookmarkEnd w:id="12"/>
      <w:bookmarkEnd w:id="13"/>
    </w:p>
    <w:p>
      <w:pPr>
        <w:spacing w:line="560" w:lineRule="exact"/>
        <w:ind w:firstLine="640" w:firstLineChars="200"/>
        <w:rPr>
          <w:rFonts w:ascii="仿宋_GB2312" w:hAnsi="仿宋_GB2312" w:eastAsia="仿宋_GB2312"/>
          <w:sz w:val="32"/>
          <w:szCs w:val="32"/>
        </w:rPr>
      </w:pPr>
    </w:p>
    <w:p>
      <w:pPr>
        <w:spacing w:line="560" w:lineRule="exact"/>
        <w:ind w:firstLine="640" w:firstLineChars="200"/>
        <w:rPr>
          <w:rFonts w:ascii="方正黑体简体" w:hAnsi="方正黑体简体" w:eastAsia="方正黑体简体"/>
          <w:sz w:val="32"/>
          <w:szCs w:val="32"/>
        </w:rPr>
      </w:pPr>
      <w:bookmarkStart w:id="14" w:name="_Toc15396600"/>
      <w:bookmarkStart w:id="15" w:name="_Toc15377197"/>
      <w:r>
        <w:rPr>
          <w:rFonts w:hint="eastAsia" w:ascii="方正黑体简体" w:hAnsi="方正黑体简体" w:eastAsia="方正黑体简体" w:cs="方正黑体简体"/>
          <w:sz w:val="32"/>
          <w:szCs w:val="32"/>
        </w:rPr>
        <w:t>一、基本职能及主要工作</w:t>
      </w:r>
      <w:bookmarkEnd w:id="14"/>
      <w:bookmarkEnd w:id="15"/>
    </w:p>
    <w:p>
      <w:pPr>
        <w:spacing w:line="560" w:lineRule="exact"/>
        <w:ind w:firstLine="640" w:firstLineChars="200"/>
        <w:rPr>
          <w:rFonts w:ascii="方正楷体简体" w:hAnsi="方正楷体简体" w:eastAsia="方正楷体简体"/>
          <w:sz w:val="32"/>
          <w:szCs w:val="32"/>
        </w:rPr>
      </w:pPr>
      <w:bookmarkStart w:id="16" w:name="_Toc15378445"/>
      <w:bookmarkStart w:id="17" w:name="_Toc15377198"/>
      <w:r>
        <w:rPr>
          <w:rFonts w:hint="eastAsia" w:ascii="方正楷体简体" w:hAnsi="方正楷体简体" w:eastAsia="方正楷体简体" w:cs="方正楷体简体"/>
          <w:sz w:val="32"/>
          <w:szCs w:val="32"/>
        </w:rPr>
        <w:t>（一）主要职能</w:t>
      </w:r>
      <w:bookmarkEnd w:id="16"/>
      <w:bookmarkEnd w:id="17"/>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负责利州、苴国、万缘、嘉陵、南河广场及南河南岸绿化带、河堤的日常环境卫生、经营秩序、管理保障，以及日常绿化养护、病虫害防治及鲜花栽植，日常设施设备维修维护等工作。</w:t>
      </w:r>
    </w:p>
    <w:p>
      <w:pPr>
        <w:spacing w:line="560" w:lineRule="exact"/>
        <w:ind w:firstLine="640" w:firstLineChars="200"/>
        <w:rPr>
          <w:rFonts w:ascii="方正楷体简体" w:hAnsi="方正楷体简体" w:eastAsia="方正楷体简体"/>
          <w:sz w:val="32"/>
          <w:szCs w:val="32"/>
        </w:rPr>
      </w:pPr>
      <w:bookmarkStart w:id="18" w:name="_Toc15378446"/>
      <w:bookmarkStart w:id="19" w:name="_Toc15377199"/>
      <w:r>
        <w:rPr>
          <w:rFonts w:hint="eastAsia" w:ascii="方正楷体简体" w:hAnsi="方正楷体简体" w:eastAsia="方正楷体简体" w:cs="方正楷体简体"/>
          <w:sz w:val="32"/>
          <w:szCs w:val="32"/>
        </w:rPr>
        <w:t>（二）</w:t>
      </w:r>
      <w:r>
        <w:rPr>
          <w:rFonts w:ascii="方正楷体简体" w:hAnsi="方正楷体简体" w:eastAsia="方正楷体简体" w:cs="方正楷体简体"/>
          <w:sz w:val="32"/>
          <w:szCs w:val="32"/>
        </w:rPr>
        <w:t>2020</w:t>
      </w:r>
      <w:r>
        <w:rPr>
          <w:rFonts w:hint="eastAsia" w:ascii="方正楷体简体" w:hAnsi="方正楷体简体" w:eastAsia="方正楷体简体" w:cs="方正楷体简体"/>
          <w:sz w:val="32"/>
          <w:szCs w:val="32"/>
        </w:rPr>
        <w:t>年重点工作完成情况</w:t>
      </w:r>
      <w:bookmarkEnd w:id="18"/>
      <w:bookmarkEnd w:id="19"/>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1. </w:t>
      </w:r>
      <w:r>
        <w:rPr>
          <w:rFonts w:hint="eastAsia" w:ascii="仿宋_GB2312" w:hAnsi="仿宋_GB2312" w:eastAsia="仿宋_GB2312" w:cs="仿宋_GB2312"/>
          <w:sz w:val="32"/>
          <w:szCs w:val="32"/>
        </w:rPr>
        <w:t>狠抓疫情防控，一是督导广场保洁、防疫消杀、文明劝导等工作有序开展。二是在各广场设置横幅及宣传画</w:t>
      </w:r>
      <w:r>
        <w:rPr>
          <w:rFonts w:ascii="仿宋_GB2312" w:hAnsi="仿宋_GB2312" w:eastAsia="仿宋_GB2312" w:cs="仿宋_GB2312"/>
          <w:sz w:val="32"/>
          <w:szCs w:val="32"/>
        </w:rPr>
        <w:t>35</w:t>
      </w:r>
      <w:r>
        <w:rPr>
          <w:rFonts w:hint="eastAsia" w:ascii="仿宋_GB2312" w:hAnsi="仿宋_GB2312" w:eastAsia="仿宋_GB2312" w:cs="仿宋_GB2312"/>
          <w:sz w:val="32"/>
          <w:szCs w:val="32"/>
        </w:rPr>
        <w:t>处、提示牌</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个、印发宣传单</w:t>
      </w:r>
      <w:r>
        <w:rPr>
          <w:rFonts w:ascii="仿宋_GB2312" w:hAnsi="仿宋_GB2312" w:eastAsia="仿宋_GB2312" w:cs="仿宋_GB2312"/>
          <w:sz w:val="32"/>
          <w:szCs w:val="32"/>
        </w:rPr>
        <w:t>2800</w:t>
      </w:r>
      <w:r>
        <w:rPr>
          <w:rFonts w:hint="eastAsia" w:ascii="仿宋_GB2312" w:hAnsi="仿宋_GB2312" w:eastAsia="仿宋_GB2312" w:cs="仿宋_GB2312"/>
          <w:sz w:val="32"/>
          <w:szCs w:val="32"/>
        </w:rPr>
        <w:t>份，并全天播放防疫音频。</w:t>
      </w:r>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2. </w:t>
      </w:r>
      <w:r>
        <w:rPr>
          <w:rFonts w:hint="eastAsia" w:ascii="仿宋_GB2312" w:hAnsi="仿宋_GB2312" w:eastAsia="仿宋_GB2312" w:cs="仿宋_GB2312"/>
          <w:sz w:val="32"/>
          <w:szCs w:val="32"/>
        </w:rPr>
        <w:t>抓好日常管理。一是开展广场环境卫生整治，定期清洁水池、喷泉池，擦拭座椅、灯杆及垃圾桶等设施。二是规范管理健身队、舞蹈队等活动团队。三是做好创文明城市、国卫复审复检、省</w:t>
      </w:r>
      <w:bookmarkStart w:id="73" w:name="_GoBack"/>
      <w:bookmarkEnd w:id="73"/>
      <w:r>
        <w:rPr>
          <w:rFonts w:hint="eastAsia" w:ascii="仿宋_GB2312" w:hAnsi="仿宋_GB2312" w:eastAsia="仿宋_GB2312" w:cs="仿宋_GB2312"/>
          <w:sz w:val="32"/>
          <w:szCs w:val="32"/>
        </w:rPr>
        <w:t>环保</w:t>
      </w:r>
      <w:r>
        <w:rPr>
          <w:rFonts w:hint="eastAsia" w:ascii="仿宋_GB2312" w:hAnsi="仿宋_GB2312" w:eastAsia="仿宋_GB2312" w:cs="仿宋_GB2312"/>
          <w:sz w:val="32"/>
          <w:szCs w:val="32"/>
          <w:lang w:eastAsia="zh-CN"/>
        </w:rPr>
        <w:t>督察</w:t>
      </w:r>
      <w:r>
        <w:rPr>
          <w:rFonts w:hint="eastAsia" w:ascii="仿宋_GB2312" w:hAnsi="仿宋_GB2312" w:eastAsia="仿宋_GB2312" w:cs="仿宋_GB2312"/>
          <w:sz w:val="32"/>
          <w:szCs w:val="32"/>
        </w:rPr>
        <w:t>等相关工作，更换公益宣传栏</w:t>
      </w:r>
      <w:r>
        <w:rPr>
          <w:rFonts w:ascii="仿宋_GB2312" w:hAnsi="仿宋_GB2312" w:eastAsia="仿宋_GB2312" w:cs="仿宋_GB2312"/>
          <w:sz w:val="32"/>
          <w:szCs w:val="32"/>
        </w:rPr>
        <w:t>35</w:t>
      </w:r>
      <w:r>
        <w:rPr>
          <w:rFonts w:hint="eastAsia" w:ascii="仿宋_GB2312" w:hAnsi="仿宋_GB2312" w:eastAsia="仿宋_GB2312" w:cs="仿宋_GB2312"/>
          <w:sz w:val="32"/>
          <w:szCs w:val="32"/>
        </w:rPr>
        <w:t>版、制作各类温馨提示牌</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个。四是承办各类公益型活动</w:t>
      </w:r>
      <w:r>
        <w:rPr>
          <w:rFonts w:ascii="仿宋_GB2312" w:hAnsi="仿宋_GB2312" w:eastAsia="仿宋_GB2312" w:cs="仿宋_GB2312"/>
          <w:sz w:val="32"/>
          <w:szCs w:val="32"/>
        </w:rPr>
        <w:t>27</w:t>
      </w:r>
      <w:r>
        <w:rPr>
          <w:rFonts w:hint="eastAsia" w:ascii="仿宋_GB2312" w:hAnsi="仿宋_GB2312" w:eastAsia="仿宋_GB2312" w:cs="仿宋_GB2312"/>
          <w:sz w:val="32"/>
          <w:szCs w:val="32"/>
        </w:rPr>
        <w:t>场，做好现场秩序保障。五是督促文旅集团加强经营场所秩序管理及周边的环境卫生整治、经营秩序，每周对特种游乐设备等进行检查、整治。</w:t>
      </w:r>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3. </w:t>
      </w:r>
      <w:r>
        <w:rPr>
          <w:rFonts w:hint="eastAsia" w:ascii="仿宋_GB2312" w:hAnsi="仿宋_GB2312" w:eastAsia="仿宋_GB2312" w:cs="仿宋_GB2312"/>
          <w:sz w:val="32"/>
          <w:szCs w:val="32"/>
        </w:rPr>
        <w:t>加强项目管理。一是做好广场绿化日常养护工作，全年累计除草</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万㎡、松土施肥约</w:t>
      </w:r>
      <w:r>
        <w:rPr>
          <w:rFonts w:ascii="仿宋_GB2312" w:hAnsi="仿宋_GB2312" w:eastAsia="仿宋_GB2312" w:cs="仿宋_GB2312"/>
          <w:sz w:val="32"/>
          <w:szCs w:val="32"/>
        </w:rPr>
        <w:t>15.2</w:t>
      </w:r>
      <w:r>
        <w:rPr>
          <w:rFonts w:hint="eastAsia" w:ascii="仿宋_GB2312" w:hAnsi="仿宋_GB2312" w:eastAsia="仿宋_GB2312" w:cs="仿宋_GB2312"/>
          <w:sz w:val="32"/>
          <w:szCs w:val="32"/>
        </w:rPr>
        <w:t>万㎡、灌木修剪约</w:t>
      </w:r>
      <w:r>
        <w:rPr>
          <w:rFonts w:ascii="仿宋_GB2312" w:hAnsi="仿宋_GB2312" w:eastAsia="仿宋_GB2312" w:cs="仿宋_GB2312"/>
          <w:sz w:val="32"/>
          <w:szCs w:val="32"/>
        </w:rPr>
        <w:t>16.9</w:t>
      </w:r>
      <w:r>
        <w:rPr>
          <w:rFonts w:hint="eastAsia" w:ascii="仿宋_GB2312" w:hAnsi="仿宋_GB2312" w:eastAsia="仿宋_GB2312" w:cs="仿宋_GB2312"/>
          <w:sz w:val="32"/>
          <w:szCs w:val="32"/>
        </w:rPr>
        <w:t>万㎡、乔木修剪约</w:t>
      </w:r>
      <w:r>
        <w:rPr>
          <w:rFonts w:ascii="仿宋_GB2312" w:hAnsi="仿宋_GB2312" w:eastAsia="仿宋_GB2312" w:cs="仿宋_GB2312"/>
          <w:sz w:val="32"/>
          <w:szCs w:val="32"/>
        </w:rPr>
        <w:t>453</w:t>
      </w:r>
      <w:r>
        <w:rPr>
          <w:rFonts w:hint="eastAsia" w:ascii="仿宋_GB2312" w:hAnsi="仿宋_GB2312" w:eastAsia="仿宋_GB2312" w:cs="仿宋_GB2312"/>
          <w:sz w:val="32"/>
          <w:szCs w:val="32"/>
        </w:rPr>
        <w:t>株、病虫害防治</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次约</w:t>
      </w:r>
      <w:r>
        <w:rPr>
          <w:rFonts w:ascii="仿宋_GB2312" w:hAnsi="仿宋_GB2312" w:eastAsia="仿宋_GB2312" w:cs="仿宋_GB2312"/>
          <w:sz w:val="32"/>
          <w:szCs w:val="32"/>
        </w:rPr>
        <w:t>6.8</w:t>
      </w:r>
      <w:r>
        <w:rPr>
          <w:rFonts w:hint="eastAsia" w:ascii="仿宋_GB2312" w:hAnsi="仿宋_GB2312" w:eastAsia="仿宋_GB2312" w:cs="仿宋_GB2312"/>
          <w:sz w:val="32"/>
          <w:szCs w:val="32"/>
        </w:rPr>
        <w:t>万㎡、栽植及摆放草花约</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万盆、清运绿化垃圾约</w:t>
      </w:r>
      <w:r>
        <w:rPr>
          <w:rFonts w:ascii="仿宋_GB2312" w:hAnsi="仿宋_GB2312" w:eastAsia="仿宋_GB2312" w:cs="仿宋_GB2312"/>
          <w:sz w:val="32"/>
          <w:szCs w:val="32"/>
        </w:rPr>
        <w:t>41</w:t>
      </w:r>
      <w:r>
        <w:rPr>
          <w:rFonts w:hint="eastAsia" w:ascii="仿宋_GB2312" w:hAnsi="仿宋_GB2312" w:eastAsia="仿宋_GB2312" w:cs="仿宋_GB2312"/>
          <w:sz w:val="32"/>
          <w:szCs w:val="32"/>
        </w:rPr>
        <w:t>吨。二是做好广场设施设备维修维护。完成部分座椅、地砖、灯具、电线、水管、喷泉钢化玻璃等日常设施维修、更换，汛期补充防汛沙袋</w:t>
      </w:r>
      <w:r>
        <w:rPr>
          <w:rFonts w:ascii="仿宋_GB2312" w:hAnsi="仿宋_GB2312" w:eastAsia="仿宋_GB2312" w:cs="仿宋_GB2312"/>
          <w:sz w:val="32"/>
          <w:szCs w:val="32"/>
        </w:rPr>
        <w:t>150</w:t>
      </w:r>
      <w:r>
        <w:rPr>
          <w:rFonts w:hint="eastAsia" w:ascii="仿宋_GB2312" w:hAnsi="仿宋_GB2312" w:eastAsia="仿宋_GB2312" w:cs="仿宋_GB2312"/>
          <w:sz w:val="32"/>
          <w:szCs w:val="32"/>
        </w:rPr>
        <w:t>个，加强广场电线、地下室及喷泉抽水泵检修，确保平安度汛。三是完成春节及国庆节日氛围营造工作，悬挂大小灯笼</w:t>
      </w:r>
      <w:r>
        <w:rPr>
          <w:rFonts w:ascii="仿宋_GB2312" w:hAnsi="仿宋_GB2312" w:eastAsia="仿宋_GB2312" w:cs="仿宋_GB2312"/>
          <w:sz w:val="32"/>
          <w:szCs w:val="32"/>
        </w:rPr>
        <w:t>2250</w:t>
      </w:r>
      <w:r>
        <w:rPr>
          <w:rFonts w:hint="eastAsia" w:ascii="仿宋_GB2312" w:hAnsi="仿宋_GB2312" w:eastAsia="仿宋_GB2312" w:cs="仿宋_GB2312"/>
          <w:sz w:val="32"/>
          <w:szCs w:val="32"/>
        </w:rPr>
        <w:t>个、彩灯</w:t>
      </w:r>
      <w:r>
        <w:rPr>
          <w:rFonts w:ascii="仿宋_GB2312" w:hAnsi="仿宋_GB2312" w:eastAsia="仿宋_GB2312" w:cs="仿宋_GB2312"/>
          <w:sz w:val="32"/>
          <w:szCs w:val="32"/>
        </w:rPr>
        <w:t>3670</w:t>
      </w:r>
      <w:r>
        <w:rPr>
          <w:rFonts w:hint="eastAsia" w:ascii="仿宋_GB2312" w:hAnsi="仿宋_GB2312" w:eastAsia="仿宋_GB2312" w:cs="仿宋_GB2312"/>
          <w:sz w:val="32"/>
          <w:szCs w:val="32"/>
        </w:rPr>
        <w:t>套、国旗及彩旗</w:t>
      </w:r>
      <w:r>
        <w:rPr>
          <w:rFonts w:ascii="仿宋_GB2312" w:hAnsi="仿宋_GB2312" w:eastAsia="仿宋_GB2312" w:cs="仿宋_GB2312"/>
          <w:sz w:val="32"/>
          <w:szCs w:val="32"/>
        </w:rPr>
        <w:t>107</w:t>
      </w:r>
      <w:r>
        <w:rPr>
          <w:rFonts w:hint="eastAsia" w:ascii="仿宋_GB2312" w:hAnsi="仿宋_GB2312" w:eastAsia="仿宋_GB2312" w:cs="仿宋_GB2312"/>
          <w:sz w:val="32"/>
          <w:szCs w:val="32"/>
        </w:rPr>
        <w:t>面，按节能要求调整各广场照明亮灯时间及方式，节省用电量约</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4. </w:t>
      </w:r>
      <w:r>
        <w:rPr>
          <w:rFonts w:hint="eastAsia" w:ascii="仿宋_GB2312" w:hAnsi="仿宋_GB2312" w:eastAsia="仿宋_GB2312" w:cs="仿宋_GB2312"/>
          <w:sz w:val="32"/>
          <w:szCs w:val="32"/>
        </w:rPr>
        <w:t>狠抓安全生产。一是完善《安全生产责任书》《安全生产管理制度》等规章制度。二是全面落实“一岗双责”要求，划片区实行网格化管理。三是采取不定期抽查、节假日全面大检查的方式，及时排查安全隐患，确保零事故。四是开展防汛抢险应急演练及</w:t>
      </w:r>
      <w:r>
        <w:rPr>
          <w:rFonts w:ascii="仿宋_GB2312" w:hAnsi="仿宋_GB2312" w:eastAsia="仿宋_GB2312" w:cs="仿宋_GB2312"/>
          <w:sz w:val="32"/>
          <w:szCs w:val="32"/>
        </w:rPr>
        <w:t>918</w:t>
      </w:r>
      <w:r>
        <w:rPr>
          <w:rFonts w:hint="eastAsia" w:ascii="仿宋_GB2312" w:hAnsi="仿宋_GB2312" w:eastAsia="仿宋_GB2312" w:cs="仿宋_GB2312"/>
          <w:sz w:val="32"/>
          <w:szCs w:val="32"/>
        </w:rPr>
        <w:t>鸣警演练。</w:t>
      </w:r>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5. </w:t>
      </w:r>
      <w:r>
        <w:rPr>
          <w:rFonts w:hint="eastAsia" w:ascii="仿宋_GB2312" w:hAnsi="仿宋_GB2312" w:eastAsia="仿宋_GB2312" w:cs="仿宋_GB2312"/>
          <w:sz w:val="32"/>
          <w:szCs w:val="32"/>
        </w:rPr>
        <w:t>巩固脱贫攻坚成果，真抓实干助推帮扶。开展“三同”工作，入户宣讲脱贫政策，整治人居环境，做好贫困户信息核对及各项交叉检查工作。</w:t>
      </w:r>
    </w:p>
    <w:p>
      <w:pPr>
        <w:spacing w:line="560" w:lineRule="exact"/>
        <w:ind w:firstLine="640" w:firstLineChars="200"/>
        <w:rPr>
          <w:rFonts w:ascii="方正黑体简体" w:hAnsi="方正黑体简体" w:eastAsia="方正黑体简体"/>
          <w:sz w:val="32"/>
          <w:szCs w:val="32"/>
        </w:rPr>
      </w:pPr>
      <w:bookmarkStart w:id="20" w:name="_Toc15396601"/>
      <w:bookmarkStart w:id="21" w:name="_Toc15377200"/>
      <w:r>
        <w:rPr>
          <w:rFonts w:hint="eastAsia" w:ascii="方正黑体简体" w:hAnsi="方正黑体简体" w:eastAsia="方正黑体简体" w:cs="方正黑体简体"/>
          <w:sz w:val="32"/>
          <w:szCs w:val="32"/>
        </w:rPr>
        <w:t>二、机构设置</w:t>
      </w:r>
      <w:bookmarkEnd w:id="20"/>
      <w:bookmarkEnd w:id="21"/>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广元市城区广场服务中心属于广元市城市管理行政执法局二级预算单位。</w:t>
      </w:r>
      <w:bookmarkStart w:id="22" w:name="_Toc15377204"/>
      <w:bookmarkStart w:id="23" w:name="_Toc15396602"/>
    </w:p>
    <w:p>
      <w:pPr>
        <w:spacing w:line="560" w:lineRule="exact"/>
        <w:ind w:firstLine="640" w:firstLineChars="200"/>
        <w:rPr>
          <w:rFonts w:ascii="仿宋_GB2312" w:hAnsi="仿宋_GB2312" w:eastAsia="仿宋_GB2312"/>
          <w:sz w:val="32"/>
          <w:szCs w:val="32"/>
        </w:rPr>
      </w:pPr>
    </w:p>
    <w:p>
      <w:pPr>
        <w:spacing w:line="560" w:lineRule="exact"/>
        <w:ind w:firstLine="640" w:firstLineChars="200"/>
        <w:rPr>
          <w:rFonts w:ascii="仿宋_GB2312" w:hAnsi="仿宋_GB2312" w:eastAsia="仿宋_GB2312"/>
          <w:sz w:val="32"/>
          <w:szCs w:val="32"/>
        </w:rPr>
      </w:pPr>
    </w:p>
    <w:p>
      <w:pPr>
        <w:spacing w:line="560" w:lineRule="exact"/>
        <w:ind w:firstLine="640" w:firstLineChars="200"/>
        <w:rPr>
          <w:rFonts w:ascii="仿宋_GB2312" w:hAnsi="仿宋_GB2312" w:eastAsia="仿宋_GB2312"/>
          <w:sz w:val="32"/>
          <w:szCs w:val="32"/>
        </w:rPr>
      </w:pPr>
    </w:p>
    <w:p>
      <w:pPr>
        <w:spacing w:line="560" w:lineRule="exact"/>
        <w:ind w:firstLine="640" w:firstLineChars="200"/>
        <w:rPr>
          <w:rFonts w:ascii="仿宋_GB2312" w:hAnsi="仿宋_GB2312" w:eastAsia="仿宋_GB2312"/>
          <w:sz w:val="32"/>
          <w:szCs w:val="32"/>
        </w:rPr>
      </w:pPr>
    </w:p>
    <w:p>
      <w:pPr>
        <w:spacing w:line="560" w:lineRule="exact"/>
        <w:ind w:firstLine="640" w:firstLineChars="200"/>
        <w:rPr>
          <w:rFonts w:ascii="仿宋_GB2312" w:hAnsi="仿宋_GB2312" w:eastAsia="仿宋_GB2312"/>
          <w:sz w:val="32"/>
          <w:szCs w:val="32"/>
        </w:rPr>
      </w:pPr>
    </w:p>
    <w:p>
      <w:pPr>
        <w:spacing w:line="560" w:lineRule="exact"/>
        <w:ind w:firstLine="640" w:firstLineChars="200"/>
        <w:rPr>
          <w:rFonts w:ascii="仿宋_GB2312" w:hAnsi="仿宋_GB2312" w:eastAsia="仿宋_GB2312"/>
          <w:sz w:val="32"/>
          <w:szCs w:val="32"/>
        </w:rPr>
      </w:pPr>
    </w:p>
    <w:p>
      <w:pPr>
        <w:spacing w:line="560" w:lineRule="exact"/>
        <w:ind w:firstLine="640" w:firstLineChars="200"/>
        <w:rPr>
          <w:rFonts w:ascii="仿宋_GB2312" w:hAnsi="仿宋_GB2312" w:eastAsia="仿宋_GB2312"/>
          <w:sz w:val="32"/>
          <w:szCs w:val="32"/>
        </w:rPr>
      </w:pPr>
    </w:p>
    <w:p>
      <w:pPr>
        <w:spacing w:line="560" w:lineRule="exact"/>
        <w:ind w:firstLine="640" w:firstLineChars="200"/>
        <w:rPr>
          <w:rFonts w:ascii="仿宋_GB2312" w:hAnsi="仿宋_GB2312" w:eastAsia="仿宋_GB2312"/>
          <w:sz w:val="32"/>
          <w:szCs w:val="32"/>
        </w:rPr>
      </w:pPr>
    </w:p>
    <w:p>
      <w:pPr>
        <w:spacing w:line="5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第二部分</w:t>
      </w:r>
      <w:r>
        <w:rPr>
          <w:rFonts w:ascii="方正小标宋简体" w:hAnsi="方正小标宋简体" w:eastAsia="方正小标宋简体" w:cs="方正小标宋简体"/>
          <w:sz w:val="44"/>
          <w:szCs w:val="44"/>
        </w:rPr>
        <w:t xml:space="preserve">  2020</w:t>
      </w:r>
      <w:r>
        <w:rPr>
          <w:rFonts w:hint="eastAsia" w:ascii="方正小标宋简体" w:hAnsi="方正小标宋简体" w:eastAsia="方正小标宋简体" w:cs="方正小标宋简体"/>
          <w:sz w:val="44"/>
          <w:szCs w:val="44"/>
        </w:rPr>
        <w:t>年度部门决算情况说明</w:t>
      </w:r>
      <w:bookmarkEnd w:id="22"/>
      <w:bookmarkEnd w:id="23"/>
    </w:p>
    <w:p>
      <w:pPr>
        <w:spacing w:line="560" w:lineRule="exact"/>
        <w:ind w:firstLine="640" w:firstLineChars="200"/>
        <w:rPr>
          <w:rFonts w:ascii="仿宋_GB2312" w:hAnsi="仿宋_GB2312" w:eastAsia="仿宋_GB2312"/>
          <w:sz w:val="32"/>
          <w:szCs w:val="32"/>
        </w:rPr>
      </w:pPr>
    </w:p>
    <w:p>
      <w:pPr>
        <w:spacing w:line="560" w:lineRule="exact"/>
        <w:ind w:firstLine="640" w:firstLineChars="200"/>
        <w:rPr>
          <w:rFonts w:ascii="方正黑体简体" w:hAnsi="方正黑体简体" w:eastAsia="方正黑体简体"/>
          <w:sz w:val="32"/>
          <w:szCs w:val="32"/>
        </w:rPr>
      </w:pPr>
      <w:bookmarkStart w:id="24" w:name="_Toc15377205"/>
      <w:bookmarkStart w:id="25" w:name="_Toc15396603"/>
      <w:r>
        <w:rPr>
          <w:rFonts w:hint="eastAsia" w:ascii="方正黑体简体" w:hAnsi="方正黑体简体" w:eastAsia="方正黑体简体" w:cs="方正黑体简体"/>
          <w:sz w:val="32"/>
          <w:szCs w:val="32"/>
        </w:rPr>
        <w:t>一、收入支出决算总体情况说明</w:t>
      </w:r>
      <w:bookmarkEnd w:id="24"/>
      <w:bookmarkEnd w:id="25"/>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年度收、支总计</w:t>
      </w:r>
      <w:r>
        <w:rPr>
          <w:rFonts w:ascii="仿宋_GB2312" w:hAnsi="仿宋_GB2312" w:eastAsia="仿宋_GB2312" w:cs="仿宋_GB2312"/>
          <w:sz w:val="32"/>
          <w:szCs w:val="32"/>
        </w:rPr>
        <w:t>680.58</w:t>
      </w:r>
      <w:r>
        <w:rPr>
          <w:rFonts w:hint="eastAsia" w:ascii="仿宋_GB2312" w:hAnsi="仿宋_GB2312" w:eastAsia="仿宋_GB2312" w:cs="仿宋_GB2312"/>
          <w:sz w:val="32"/>
          <w:szCs w:val="32"/>
        </w:rPr>
        <w:t>万元。与</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年相比，收、支总计各增加</w:t>
      </w:r>
      <w:r>
        <w:rPr>
          <w:rFonts w:ascii="仿宋_GB2312" w:hAnsi="仿宋_GB2312" w:eastAsia="仿宋_GB2312" w:cs="仿宋_GB2312"/>
          <w:sz w:val="32"/>
          <w:szCs w:val="32"/>
        </w:rPr>
        <w:t>25.1</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3.83%</w:t>
      </w:r>
      <w:r>
        <w:rPr>
          <w:rFonts w:hint="eastAsia" w:ascii="仿宋_GB2312" w:hAnsi="仿宋_GB2312" w:eastAsia="仿宋_GB2312" w:cs="仿宋_GB2312"/>
          <w:sz w:val="32"/>
          <w:szCs w:val="32"/>
        </w:rPr>
        <w:t>。主要变动原因是年初结转和结余增加，人员增加</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人。</w:t>
      </w:r>
    </w:p>
    <w:p>
      <w:pPr>
        <w:spacing w:line="560" w:lineRule="exact"/>
        <w:ind w:firstLine="640" w:firstLineChars="200"/>
        <w:rPr>
          <w:rFonts w:ascii="方正黑体简体" w:hAnsi="方正黑体简体" w:eastAsia="方正黑体简体"/>
          <w:sz w:val="32"/>
          <w:szCs w:val="32"/>
        </w:rPr>
      </w:pPr>
      <w:bookmarkStart w:id="26" w:name="_Toc15396604"/>
      <w:bookmarkStart w:id="27" w:name="_Toc15377206"/>
      <w:r>
        <w:rPr>
          <w:rFonts w:hint="eastAsia" w:ascii="方正黑体简体" w:hAnsi="方正黑体简体" w:eastAsia="方正黑体简体" w:cs="方正黑体简体"/>
          <w:sz w:val="32"/>
          <w:szCs w:val="32"/>
        </w:rPr>
        <w:t>二、收入决算情况说明</w:t>
      </w:r>
      <w:bookmarkEnd w:id="26"/>
      <w:bookmarkEnd w:id="27"/>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年本年收入合计</w:t>
      </w:r>
      <w:r>
        <w:rPr>
          <w:rFonts w:ascii="仿宋_GB2312" w:hAnsi="仿宋_GB2312" w:eastAsia="仿宋_GB2312" w:cs="仿宋_GB2312"/>
          <w:sz w:val="32"/>
          <w:szCs w:val="32"/>
        </w:rPr>
        <w:t>666.85</w:t>
      </w:r>
      <w:r>
        <w:rPr>
          <w:rFonts w:hint="eastAsia" w:ascii="仿宋_GB2312" w:hAnsi="仿宋_GB2312" w:eastAsia="仿宋_GB2312" w:cs="仿宋_GB2312"/>
          <w:sz w:val="32"/>
          <w:szCs w:val="32"/>
        </w:rPr>
        <w:t>万元，其中：一般公共预算财政拨款收入</w:t>
      </w:r>
      <w:r>
        <w:rPr>
          <w:rFonts w:ascii="仿宋_GB2312" w:hAnsi="仿宋_GB2312" w:eastAsia="仿宋_GB2312" w:cs="仿宋_GB2312"/>
          <w:sz w:val="32"/>
          <w:szCs w:val="32"/>
        </w:rPr>
        <w:t>216.16</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32.415%</w:t>
      </w:r>
      <w:r>
        <w:rPr>
          <w:rFonts w:hint="eastAsia" w:ascii="仿宋_GB2312" w:hAnsi="仿宋_GB2312" w:eastAsia="仿宋_GB2312" w:cs="仿宋_GB2312"/>
          <w:sz w:val="32"/>
          <w:szCs w:val="32"/>
        </w:rPr>
        <w:t>；政府性基金预算财政拨款收入</w:t>
      </w:r>
      <w:r>
        <w:rPr>
          <w:rFonts w:ascii="仿宋_GB2312" w:hAnsi="仿宋_GB2312" w:eastAsia="仿宋_GB2312" w:cs="仿宋_GB2312"/>
          <w:sz w:val="32"/>
          <w:szCs w:val="32"/>
        </w:rPr>
        <w:t>450.67</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67.582%</w:t>
      </w:r>
      <w:r>
        <w:rPr>
          <w:rFonts w:hint="eastAsia" w:ascii="仿宋_GB2312" w:hAnsi="仿宋_GB2312" w:eastAsia="仿宋_GB2312" w:cs="仿宋_GB2312"/>
          <w:sz w:val="32"/>
          <w:szCs w:val="32"/>
        </w:rPr>
        <w:t>；上级补助收入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；事业收入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；经营收入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；附属单位上缴收入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；其他收入</w:t>
      </w:r>
      <w:r>
        <w:rPr>
          <w:rFonts w:ascii="仿宋_GB2312" w:hAnsi="仿宋_GB2312" w:eastAsia="仿宋_GB2312" w:cs="仿宋_GB2312"/>
          <w:sz w:val="32"/>
          <w:szCs w:val="32"/>
        </w:rPr>
        <w:t>0.02</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0.003%</w:t>
      </w:r>
      <w:r>
        <w:rPr>
          <w:rFonts w:hint="eastAsia" w:ascii="仿宋_GB2312" w:hAnsi="仿宋_GB2312" w:eastAsia="仿宋_GB2312" w:cs="仿宋_GB2312"/>
          <w:sz w:val="32"/>
          <w:szCs w:val="32"/>
        </w:rPr>
        <w:t>。</w:t>
      </w:r>
    </w:p>
    <w:p>
      <w:pPr>
        <w:spacing w:line="560" w:lineRule="exact"/>
        <w:ind w:firstLine="640" w:firstLineChars="200"/>
        <w:rPr>
          <w:rFonts w:ascii="方正黑体简体" w:hAnsi="方正黑体简体" w:eastAsia="方正黑体简体"/>
          <w:sz w:val="32"/>
          <w:szCs w:val="32"/>
        </w:rPr>
      </w:pPr>
      <w:bookmarkStart w:id="28" w:name="_Toc15396605"/>
      <w:bookmarkStart w:id="29" w:name="_Toc15377207"/>
      <w:r>
        <w:rPr>
          <w:rFonts w:hint="eastAsia" w:ascii="方正黑体简体" w:hAnsi="方正黑体简体" w:eastAsia="方正黑体简体" w:cs="方正黑体简体"/>
          <w:sz w:val="32"/>
          <w:szCs w:val="32"/>
        </w:rPr>
        <w:t>三、支出决算情况说明</w:t>
      </w:r>
      <w:bookmarkEnd w:id="28"/>
      <w:bookmarkEnd w:id="29"/>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年本年支出合计</w:t>
      </w:r>
      <w:r>
        <w:rPr>
          <w:rFonts w:ascii="仿宋_GB2312" w:hAnsi="仿宋_GB2312" w:eastAsia="仿宋_GB2312" w:cs="仿宋_GB2312"/>
          <w:sz w:val="32"/>
          <w:szCs w:val="32"/>
        </w:rPr>
        <w:t>666.09</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218.51</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32.80%</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447.58</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67.20%</w:t>
      </w:r>
      <w:r>
        <w:rPr>
          <w:rFonts w:hint="eastAsia" w:ascii="仿宋_GB2312" w:hAnsi="仿宋_GB2312" w:eastAsia="仿宋_GB2312" w:cs="仿宋_GB2312"/>
          <w:sz w:val="32"/>
          <w:szCs w:val="32"/>
        </w:rPr>
        <w:t>；上缴上级支出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；经营支出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；对附属单位补助支出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spacing w:line="560" w:lineRule="exact"/>
        <w:ind w:firstLine="640" w:firstLineChars="200"/>
        <w:rPr>
          <w:rFonts w:ascii="方正黑体简体" w:hAnsi="方正黑体简体" w:eastAsia="方正黑体简体"/>
          <w:sz w:val="32"/>
          <w:szCs w:val="32"/>
        </w:rPr>
      </w:pPr>
      <w:bookmarkStart w:id="30" w:name="_Toc15377208"/>
      <w:bookmarkStart w:id="31" w:name="_Toc15396606"/>
      <w:r>
        <w:rPr>
          <w:rFonts w:hint="eastAsia" w:ascii="方正黑体简体" w:hAnsi="方正黑体简体" w:eastAsia="方正黑体简体" w:cs="方正黑体简体"/>
          <w:sz w:val="32"/>
          <w:szCs w:val="32"/>
        </w:rPr>
        <w:t>四、财政拨款收入支出决算总体情况说明</w:t>
      </w:r>
      <w:bookmarkEnd w:id="30"/>
      <w:bookmarkEnd w:id="31"/>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年财政拨款收、支总计</w:t>
      </w:r>
      <w:r>
        <w:rPr>
          <w:rFonts w:ascii="仿宋_GB2312" w:hAnsi="仿宋_GB2312" w:eastAsia="仿宋_GB2312" w:cs="仿宋_GB2312"/>
          <w:sz w:val="32"/>
          <w:szCs w:val="32"/>
        </w:rPr>
        <w:t>680.55</w:t>
      </w:r>
      <w:r>
        <w:rPr>
          <w:rFonts w:hint="eastAsia" w:ascii="仿宋_GB2312" w:hAnsi="仿宋_GB2312" w:eastAsia="仿宋_GB2312" w:cs="仿宋_GB2312"/>
          <w:sz w:val="32"/>
          <w:szCs w:val="32"/>
        </w:rPr>
        <w:t>万元。与</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年相比，财政拨款收、支总计增加</w:t>
      </w:r>
      <w:r>
        <w:rPr>
          <w:rFonts w:ascii="仿宋_GB2312" w:hAnsi="仿宋_GB2312" w:eastAsia="仿宋_GB2312" w:cs="仿宋_GB2312"/>
          <w:sz w:val="32"/>
          <w:szCs w:val="32"/>
        </w:rPr>
        <w:t>226.74</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49.96%</w:t>
      </w:r>
      <w:r>
        <w:rPr>
          <w:rFonts w:hint="eastAsia" w:ascii="仿宋_GB2312" w:hAnsi="仿宋_GB2312" w:eastAsia="仿宋_GB2312" w:cs="仿宋_GB2312"/>
          <w:sz w:val="32"/>
          <w:szCs w:val="32"/>
        </w:rPr>
        <w:t>。主要变动原因是政府性基金预算拨款收入大幅增加。</w:t>
      </w:r>
    </w:p>
    <w:p>
      <w:pPr>
        <w:spacing w:line="560" w:lineRule="exact"/>
        <w:ind w:firstLine="640" w:firstLineChars="200"/>
        <w:rPr>
          <w:rFonts w:ascii="方正黑体简体" w:hAnsi="方正黑体简体" w:eastAsia="方正黑体简体"/>
          <w:sz w:val="32"/>
          <w:szCs w:val="32"/>
        </w:rPr>
      </w:pPr>
      <w:bookmarkStart w:id="32" w:name="_Toc15377209"/>
      <w:bookmarkStart w:id="33" w:name="_Toc15396607"/>
      <w:r>
        <w:rPr>
          <w:rFonts w:hint="eastAsia" w:ascii="方正黑体简体" w:hAnsi="方正黑体简体" w:eastAsia="方正黑体简体" w:cs="方正黑体简体"/>
          <w:sz w:val="32"/>
          <w:szCs w:val="32"/>
        </w:rPr>
        <w:t>五、一般公共预算财政拨款支出决算情况说明</w:t>
      </w:r>
      <w:bookmarkEnd w:id="32"/>
      <w:bookmarkEnd w:id="33"/>
    </w:p>
    <w:p>
      <w:pPr>
        <w:spacing w:line="560" w:lineRule="exact"/>
        <w:ind w:firstLine="640" w:firstLineChars="200"/>
        <w:rPr>
          <w:rFonts w:ascii="方正楷体简体" w:hAnsi="方正楷体简体" w:eastAsia="方正楷体简体"/>
          <w:sz w:val="32"/>
          <w:szCs w:val="32"/>
        </w:rPr>
      </w:pPr>
      <w:bookmarkStart w:id="34" w:name="_Toc15377210"/>
      <w:r>
        <w:rPr>
          <w:rFonts w:hint="eastAsia" w:ascii="方正楷体简体" w:hAnsi="方正楷体简体" w:eastAsia="方正楷体简体" w:cs="方正楷体简体"/>
          <w:sz w:val="32"/>
          <w:szCs w:val="32"/>
        </w:rPr>
        <w:t>（一）一般公共预算财政拨款支出决算总体情况</w:t>
      </w:r>
      <w:bookmarkEnd w:id="34"/>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年一般公共预算财政拨款支出</w:t>
      </w:r>
      <w:r>
        <w:rPr>
          <w:rFonts w:ascii="仿宋_GB2312" w:hAnsi="仿宋_GB2312" w:eastAsia="仿宋_GB2312" w:cs="仿宋_GB2312"/>
          <w:sz w:val="32"/>
          <w:szCs w:val="32"/>
        </w:rPr>
        <w:t>218.6</w:t>
      </w:r>
      <w:r>
        <w:rPr>
          <w:rFonts w:hint="eastAsia" w:ascii="仿宋_GB2312" w:hAnsi="仿宋_GB2312" w:eastAsia="仿宋_GB2312" w:cs="仿宋_GB2312"/>
          <w:sz w:val="32"/>
          <w:szCs w:val="32"/>
        </w:rPr>
        <w:t>万元，占本年支出合计的</w:t>
      </w:r>
      <w:r>
        <w:rPr>
          <w:rFonts w:ascii="仿宋_GB2312" w:hAnsi="仿宋_GB2312" w:eastAsia="仿宋_GB2312" w:cs="仿宋_GB2312"/>
          <w:sz w:val="32"/>
          <w:szCs w:val="32"/>
        </w:rPr>
        <w:t>32.82%</w:t>
      </w:r>
      <w:r>
        <w:rPr>
          <w:rFonts w:hint="eastAsia" w:ascii="仿宋_GB2312" w:hAnsi="仿宋_GB2312" w:eastAsia="仿宋_GB2312" w:cs="仿宋_GB2312"/>
          <w:sz w:val="32"/>
          <w:szCs w:val="32"/>
        </w:rPr>
        <w:t>。与</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年相比，一般公共预算财政拨款减少</w:t>
      </w:r>
      <w:r>
        <w:rPr>
          <w:rFonts w:ascii="仿宋_GB2312" w:hAnsi="仿宋_GB2312" w:eastAsia="仿宋_GB2312" w:cs="仿宋_GB2312"/>
          <w:sz w:val="32"/>
          <w:szCs w:val="32"/>
        </w:rPr>
        <w:t>17.27</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7.32%</w:t>
      </w:r>
      <w:r>
        <w:rPr>
          <w:rFonts w:hint="eastAsia" w:ascii="仿宋_GB2312" w:hAnsi="仿宋_GB2312" w:eastAsia="仿宋_GB2312" w:cs="仿宋_GB2312"/>
          <w:sz w:val="32"/>
          <w:szCs w:val="32"/>
        </w:rPr>
        <w:t>。主要变动原因是公用经费支出减少。</w:t>
      </w:r>
    </w:p>
    <w:p>
      <w:pPr>
        <w:spacing w:line="560" w:lineRule="exact"/>
        <w:ind w:firstLine="640" w:firstLineChars="200"/>
        <w:rPr>
          <w:rFonts w:ascii="方正楷体简体" w:hAnsi="方正楷体简体" w:eastAsia="方正楷体简体"/>
          <w:sz w:val="32"/>
          <w:szCs w:val="32"/>
        </w:rPr>
      </w:pPr>
      <w:bookmarkStart w:id="35" w:name="_Toc15377211"/>
      <w:r>
        <w:rPr>
          <w:rFonts w:hint="eastAsia" w:ascii="方正楷体简体" w:hAnsi="方正楷体简体" w:eastAsia="方正楷体简体" w:cs="方正楷体简体"/>
          <w:sz w:val="32"/>
          <w:szCs w:val="32"/>
        </w:rPr>
        <w:t>（二）一般公共预算财政拨款支出决算结构情况</w:t>
      </w:r>
      <w:bookmarkEnd w:id="35"/>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年一般公共预算财政拨款支出</w:t>
      </w:r>
      <w:r>
        <w:rPr>
          <w:rFonts w:ascii="仿宋_GB2312" w:hAnsi="仿宋_GB2312" w:eastAsia="仿宋_GB2312" w:cs="仿宋_GB2312"/>
          <w:sz w:val="32"/>
          <w:szCs w:val="32"/>
        </w:rPr>
        <w:t>218.6</w:t>
      </w:r>
      <w:r>
        <w:rPr>
          <w:rFonts w:hint="eastAsia" w:ascii="仿宋_GB2312" w:hAnsi="仿宋_GB2312" w:eastAsia="仿宋_GB2312" w:cs="仿宋_GB2312"/>
          <w:sz w:val="32"/>
          <w:szCs w:val="32"/>
        </w:rPr>
        <w:t>万元，主要用于以下方面</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社会保障和就业支出（类）</w:t>
      </w:r>
      <w:r>
        <w:rPr>
          <w:rFonts w:ascii="仿宋_GB2312" w:hAnsi="仿宋_GB2312" w:eastAsia="仿宋_GB2312" w:cs="仿宋_GB2312"/>
          <w:sz w:val="32"/>
          <w:szCs w:val="32"/>
        </w:rPr>
        <w:t>16.19</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7.41%</w:t>
      </w:r>
      <w:r>
        <w:rPr>
          <w:rFonts w:hint="eastAsia" w:ascii="仿宋_GB2312" w:hAnsi="仿宋_GB2312" w:eastAsia="仿宋_GB2312" w:cs="仿宋_GB2312"/>
          <w:sz w:val="32"/>
          <w:szCs w:val="32"/>
        </w:rPr>
        <w:t>；卫生健康支出（类）</w:t>
      </w:r>
      <w:r>
        <w:rPr>
          <w:rFonts w:ascii="仿宋_GB2312" w:hAnsi="仿宋_GB2312" w:eastAsia="仿宋_GB2312" w:cs="仿宋_GB2312"/>
          <w:sz w:val="32"/>
          <w:szCs w:val="32"/>
        </w:rPr>
        <w:t>7.59</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3.47%</w:t>
      </w:r>
      <w:r>
        <w:rPr>
          <w:rFonts w:hint="eastAsia" w:ascii="仿宋_GB2312" w:hAnsi="仿宋_GB2312" w:eastAsia="仿宋_GB2312" w:cs="仿宋_GB2312"/>
          <w:sz w:val="32"/>
          <w:szCs w:val="32"/>
        </w:rPr>
        <w:t>；城乡社区支出（类）</w:t>
      </w:r>
      <w:r>
        <w:rPr>
          <w:rFonts w:ascii="仿宋_GB2312" w:hAnsi="仿宋_GB2312" w:eastAsia="仿宋_GB2312" w:cs="仿宋_GB2312"/>
          <w:sz w:val="32"/>
          <w:szCs w:val="32"/>
        </w:rPr>
        <w:t>178.14</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81.49%</w:t>
      </w:r>
      <w:r>
        <w:rPr>
          <w:rFonts w:hint="eastAsia" w:ascii="仿宋_GB2312" w:hAnsi="仿宋_GB2312" w:eastAsia="仿宋_GB2312" w:cs="仿宋_GB2312"/>
          <w:sz w:val="32"/>
          <w:szCs w:val="32"/>
        </w:rPr>
        <w:t>；农林水支出（类）</w:t>
      </w:r>
      <w:r>
        <w:rPr>
          <w:rFonts w:ascii="仿宋_GB2312" w:hAnsi="仿宋_GB2312" w:eastAsia="仿宋_GB2312" w:cs="仿宋_GB2312"/>
          <w:sz w:val="32"/>
          <w:szCs w:val="32"/>
        </w:rPr>
        <w:t>0.11</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0.05%</w:t>
      </w:r>
      <w:r>
        <w:rPr>
          <w:rFonts w:hint="eastAsia" w:ascii="仿宋_GB2312" w:hAnsi="仿宋_GB2312" w:eastAsia="仿宋_GB2312" w:cs="仿宋_GB2312"/>
          <w:sz w:val="32"/>
          <w:szCs w:val="32"/>
        </w:rPr>
        <w:t>；住房保障支出（类）</w:t>
      </w:r>
      <w:r>
        <w:rPr>
          <w:rFonts w:ascii="仿宋_GB2312" w:hAnsi="仿宋_GB2312" w:eastAsia="仿宋_GB2312" w:cs="仿宋_GB2312"/>
          <w:sz w:val="32"/>
          <w:szCs w:val="32"/>
        </w:rPr>
        <w:t>16.57</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7.58%</w:t>
      </w:r>
      <w:r>
        <w:rPr>
          <w:rFonts w:hint="eastAsia" w:ascii="仿宋_GB2312" w:hAnsi="仿宋_GB2312" w:eastAsia="仿宋_GB2312" w:cs="仿宋_GB2312"/>
          <w:sz w:val="32"/>
          <w:szCs w:val="32"/>
        </w:rPr>
        <w:t>。除以上数据外其余科目类支出的数据均为零。</w:t>
      </w:r>
    </w:p>
    <w:p>
      <w:pPr>
        <w:spacing w:line="560" w:lineRule="exact"/>
        <w:ind w:firstLine="640" w:firstLineChars="200"/>
        <w:rPr>
          <w:rFonts w:ascii="方正楷体简体" w:hAnsi="方正楷体简体" w:eastAsia="方正楷体简体"/>
          <w:sz w:val="32"/>
          <w:szCs w:val="32"/>
        </w:rPr>
      </w:pPr>
      <w:bookmarkStart w:id="36" w:name="_Toc15377212"/>
      <w:r>
        <w:rPr>
          <w:rFonts w:hint="eastAsia" w:ascii="方正楷体简体" w:hAnsi="方正楷体简体" w:eastAsia="方正楷体简体" w:cs="方正楷体简体"/>
          <w:sz w:val="32"/>
          <w:szCs w:val="32"/>
        </w:rPr>
        <w:t>（三）一般公共预算财政拨款支出决算具体情况</w:t>
      </w:r>
      <w:bookmarkEnd w:id="36"/>
    </w:p>
    <w:p>
      <w:pPr>
        <w:spacing w:line="560" w:lineRule="exact"/>
        <w:ind w:firstLine="640" w:firstLineChars="200"/>
        <w:rPr>
          <w:rFonts w:ascii="仿宋_GB2312" w:hAnsi="仿宋_GB2312" w:eastAsia="仿宋_GB2312"/>
          <w:sz w:val="32"/>
          <w:szCs w:val="32"/>
        </w:rPr>
      </w:pPr>
      <w:bookmarkStart w:id="37" w:name="_Toc15378460"/>
      <w:bookmarkStart w:id="38" w:name="_Toc15377213"/>
      <w:bookmarkStart w:id="39" w:name="_Toc15377444"/>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年一般公共预算支出决算数为</w:t>
      </w:r>
      <w:r>
        <w:rPr>
          <w:rFonts w:ascii="仿宋_GB2312" w:hAnsi="仿宋_GB2312" w:eastAsia="仿宋_GB2312" w:cs="仿宋_GB2312"/>
          <w:sz w:val="32"/>
          <w:szCs w:val="32"/>
        </w:rPr>
        <w:t>218.6</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。其中：</w:t>
      </w:r>
      <w:bookmarkEnd w:id="37"/>
      <w:bookmarkEnd w:id="38"/>
      <w:bookmarkEnd w:id="39"/>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1. </w:t>
      </w:r>
      <w:r>
        <w:rPr>
          <w:rFonts w:hint="eastAsia" w:ascii="仿宋_GB2312" w:hAnsi="仿宋_GB2312" w:eastAsia="仿宋_GB2312" w:cs="仿宋_GB2312"/>
          <w:sz w:val="32"/>
          <w:szCs w:val="32"/>
        </w:rPr>
        <w:t>社会保障和就业支出（类）行政事业单位养老支出（款）机关事业单位基本养老保险缴费支出（项）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支出决算为</w:t>
      </w:r>
      <w:r>
        <w:rPr>
          <w:rFonts w:ascii="仿宋_GB2312" w:hAnsi="仿宋_GB2312" w:eastAsia="仿宋_GB2312" w:cs="仿宋_GB2312"/>
          <w:sz w:val="32"/>
          <w:szCs w:val="32"/>
        </w:rPr>
        <w:t>16.19</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，决算数与预算数基本持平。</w:t>
      </w:r>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2. </w:t>
      </w:r>
      <w:r>
        <w:rPr>
          <w:rFonts w:hint="eastAsia" w:ascii="仿宋_GB2312" w:hAnsi="仿宋_GB2312" w:eastAsia="仿宋_GB2312" w:cs="仿宋_GB2312"/>
          <w:sz w:val="32"/>
          <w:szCs w:val="32"/>
        </w:rPr>
        <w:t>卫生健康支出（类）行政事业单位医疗（款）事业单位医疗（项）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支出决算为</w:t>
      </w:r>
      <w:r>
        <w:rPr>
          <w:rFonts w:ascii="仿宋_GB2312" w:hAnsi="仿宋_GB2312" w:eastAsia="仿宋_GB2312" w:cs="仿宋_GB2312"/>
          <w:sz w:val="32"/>
          <w:szCs w:val="32"/>
        </w:rPr>
        <w:t>7.59</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，决算数与预算数基本持平。</w:t>
      </w:r>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3. </w:t>
      </w:r>
      <w:r>
        <w:rPr>
          <w:rFonts w:hint="eastAsia" w:ascii="仿宋_GB2312" w:hAnsi="仿宋_GB2312" w:eastAsia="仿宋_GB2312" w:cs="仿宋_GB2312"/>
          <w:sz w:val="32"/>
          <w:szCs w:val="32"/>
        </w:rPr>
        <w:t>城乡社区支出（类）城乡社区管理事务（款）城管执法（项）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支出决算为</w:t>
      </w:r>
      <w:r>
        <w:rPr>
          <w:rFonts w:ascii="仿宋_GB2312" w:hAnsi="仿宋_GB2312" w:eastAsia="仿宋_GB2312" w:cs="仿宋_GB2312"/>
          <w:sz w:val="32"/>
          <w:szCs w:val="32"/>
        </w:rPr>
        <w:t>178.14</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，决算数与预算数基本持平。</w:t>
      </w:r>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4. </w:t>
      </w:r>
      <w:r>
        <w:rPr>
          <w:rFonts w:hint="eastAsia" w:ascii="仿宋_GB2312" w:hAnsi="仿宋_GB2312" w:eastAsia="仿宋_GB2312" w:cs="仿宋_GB2312"/>
          <w:sz w:val="32"/>
          <w:szCs w:val="32"/>
        </w:rPr>
        <w:t>农林水支出（类）林业和草原（款）森林资源培育（项）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支出决算为</w:t>
      </w:r>
      <w:r>
        <w:rPr>
          <w:rFonts w:ascii="仿宋_GB2312" w:hAnsi="仿宋_GB2312" w:eastAsia="仿宋_GB2312" w:cs="仿宋_GB2312"/>
          <w:sz w:val="32"/>
          <w:szCs w:val="32"/>
        </w:rPr>
        <w:t>0.11</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，决算数与预算数基本持平。</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5. </w:t>
      </w:r>
      <w:r>
        <w:rPr>
          <w:rFonts w:hint="eastAsia" w:ascii="仿宋_GB2312" w:hAnsi="仿宋_GB2312" w:eastAsia="仿宋_GB2312" w:cs="仿宋_GB2312"/>
          <w:sz w:val="32"/>
          <w:szCs w:val="32"/>
        </w:rPr>
        <w:t>住房保障支出（类）住房改革支出（款）住房公积金（项）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支出决算为</w:t>
      </w:r>
      <w:r>
        <w:rPr>
          <w:rFonts w:ascii="仿宋_GB2312" w:hAnsi="仿宋_GB2312" w:eastAsia="仿宋_GB2312" w:cs="仿宋_GB2312"/>
          <w:sz w:val="32"/>
          <w:szCs w:val="32"/>
        </w:rPr>
        <w:t>16.57</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，决算数与预算数基本持平。</w:t>
      </w:r>
      <w:r>
        <w:rPr>
          <w:rFonts w:ascii="仿宋_GB2312" w:hAnsi="仿宋_GB2312" w:eastAsia="仿宋_GB2312" w:cs="仿宋_GB2312"/>
          <w:sz w:val="32"/>
          <w:szCs w:val="32"/>
        </w:rPr>
        <w:t xml:space="preserve"> </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除以上数据外其余的（类）（款）（项）科目支出的数据均为零。</w:t>
      </w:r>
    </w:p>
    <w:p>
      <w:pPr>
        <w:spacing w:line="560" w:lineRule="exact"/>
        <w:ind w:firstLine="640" w:firstLineChars="200"/>
        <w:rPr>
          <w:rFonts w:ascii="方正黑体简体" w:hAnsi="方正黑体简体" w:eastAsia="方正黑体简体"/>
          <w:sz w:val="32"/>
          <w:szCs w:val="32"/>
        </w:rPr>
      </w:pPr>
      <w:bookmarkStart w:id="40" w:name="_Toc15396608"/>
      <w:bookmarkStart w:id="41" w:name="_Toc15377214"/>
      <w:r>
        <w:rPr>
          <w:rFonts w:hint="eastAsia" w:ascii="方正黑体简体" w:hAnsi="方正黑体简体" w:eastAsia="方正黑体简体" w:cs="方正黑体简体"/>
          <w:sz w:val="32"/>
          <w:szCs w:val="32"/>
        </w:rPr>
        <w:t>六、一般公共预算财政拨款基本支出决算情况说明</w:t>
      </w:r>
      <w:bookmarkEnd w:id="40"/>
      <w:bookmarkEnd w:id="41"/>
      <w:r>
        <w:rPr>
          <w:rFonts w:ascii="方正黑体简体" w:hAnsi="方正黑体简体" w:eastAsia="方正黑体简体"/>
          <w:sz w:val="32"/>
          <w:szCs w:val="32"/>
        </w:rPr>
        <w:tab/>
      </w:r>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年一般公共预算财政拨款基本支出</w:t>
      </w:r>
      <w:r>
        <w:rPr>
          <w:rFonts w:ascii="仿宋_GB2312" w:hAnsi="仿宋_GB2312" w:eastAsia="仿宋_GB2312" w:cs="仿宋_GB2312"/>
          <w:sz w:val="32"/>
          <w:szCs w:val="32"/>
        </w:rPr>
        <w:t>218.50</w:t>
      </w:r>
      <w:r>
        <w:rPr>
          <w:rFonts w:hint="eastAsia" w:ascii="仿宋_GB2312" w:hAnsi="仿宋_GB2312" w:eastAsia="仿宋_GB2312" w:cs="仿宋_GB2312"/>
          <w:sz w:val="32"/>
          <w:szCs w:val="32"/>
        </w:rPr>
        <w:t>万元，其中：</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人员经费</w:t>
      </w:r>
      <w:r>
        <w:rPr>
          <w:rFonts w:ascii="仿宋_GB2312" w:hAnsi="仿宋_GB2312" w:eastAsia="仿宋_GB2312" w:cs="仿宋_GB2312"/>
          <w:sz w:val="32"/>
          <w:szCs w:val="32"/>
        </w:rPr>
        <w:t>196.77</w:t>
      </w:r>
      <w:r>
        <w:rPr>
          <w:rFonts w:hint="eastAsia" w:ascii="仿宋_GB2312" w:hAnsi="仿宋_GB2312" w:eastAsia="仿宋_GB2312" w:cs="仿宋_GB2312"/>
          <w:sz w:val="32"/>
          <w:szCs w:val="32"/>
        </w:rPr>
        <w:t>万元，主要包括：基本工资、津贴补贴、奖金、绩效工资、机关事业单位基本养老保险缴费、职工基本医疗保险缴费、其他社会保障缴费、其他工资福利支出、奖励金、住房公积金。</w:t>
      </w:r>
      <w:r>
        <w:rPr>
          <w:rFonts w:ascii="仿宋_GB2312" w:hAnsi="仿宋_GB2312" w:eastAsia="仿宋_GB2312"/>
          <w:sz w:val="32"/>
          <w:szCs w:val="32"/>
        </w:rPr>
        <w:br/>
      </w:r>
      <w:r>
        <w:rPr>
          <w:rFonts w:hint="eastAsia" w:ascii="仿宋_GB2312" w:hAnsi="仿宋_GB2312" w:eastAsia="仿宋_GB2312" w:cs="仿宋_GB2312"/>
          <w:sz w:val="32"/>
          <w:szCs w:val="32"/>
        </w:rPr>
        <w:t>　　日常公用经费</w:t>
      </w:r>
      <w:r>
        <w:rPr>
          <w:rFonts w:ascii="仿宋_GB2312" w:hAnsi="仿宋_GB2312" w:eastAsia="仿宋_GB2312" w:cs="仿宋_GB2312"/>
          <w:sz w:val="32"/>
          <w:szCs w:val="32"/>
        </w:rPr>
        <w:t>21.73</w:t>
      </w:r>
      <w:r>
        <w:rPr>
          <w:rFonts w:hint="eastAsia" w:ascii="仿宋_GB2312" w:hAnsi="仿宋_GB2312" w:eastAsia="仿宋_GB2312" w:cs="仿宋_GB2312"/>
          <w:sz w:val="32"/>
          <w:szCs w:val="32"/>
        </w:rPr>
        <w:t>万元，主要包括：办公费、咨询费、手续费、水费、电费、邮电费、差旅费、租赁费、培训费、专用材料费、工会经费、福利费、公务用车运行维护费、其他交通费、其他商品和服务支出。</w:t>
      </w:r>
    </w:p>
    <w:p>
      <w:pPr>
        <w:spacing w:line="560" w:lineRule="exact"/>
        <w:ind w:firstLine="640" w:firstLineChars="200"/>
        <w:rPr>
          <w:rFonts w:ascii="方正黑体简体" w:hAnsi="方正黑体简体" w:eastAsia="方正黑体简体"/>
          <w:sz w:val="32"/>
          <w:szCs w:val="32"/>
        </w:rPr>
      </w:pPr>
      <w:bookmarkStart w:id="42" w:name="_Toc15396609"/>
      <w:bookmarkStart w:id="43" w:name="_Toc15377215"/>
      <w:r>
        <w:rPr>
          <w:rFonts w:hint="eastAsia" w:ascii="方正黑体简体" w:hAnsi="方正黑体简体" w:eastAsia="方正黑体简体" w:cs="方正黑体简体"/>
          <w:sz w:val="32"/>
          <w:szCs w:val="32"/>
        </w:rPr>
        <w:t>七、“三公”经费财政拨款支出决算情况说明</w:t>
      </w:r>
      <w:bookmarkEnd w:id="42"/>
      <w:bookmarkEnd w:id="43"/>
    </w:p>
    <w:p>
      <w:pPr>
        <w:spacing w:line="560" w:lineRule="exact"/>
        <w:ind w:firstLine="640" w:firstLineChars="200"/>
        <w:rPr>
          <w:rFonts w:ascii="方正楷体简体" w:hAnsi="方正楷体简体" w:eastAsia="方正楷体简体"/>
          <w:sz w:val="32"/>
          <w:szCs w:val="32"/>
        </w:rPr>
      </w:pPr>
      <w:bookmarkStart w:id="44" w:name="_Toc15377216"/>
      <w:r>
        <w:rPr>
          <w:rFonts w:hint="eastAsia" w:ascii="方正楷体简体" w:hAnsi="方正楷体简体" w:eastAsia="方正楷体简体" w:cs="方正楷体简体"/>
          <w:sz w:val="32"/>
          <w:szCs w:val="32"/>
        </w:rPr>
        <w:t>（一）“三公”经费财政拨款支出决算总体情况说明</w:t>
      </w:r>
      <w:bookmarkEnd w:id="44"/>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年“三公”经费财政拨款支出决算为</w:t>
      </w:r>
      <w:r>
        <w:rPr>
          <w:rFonts w:ascii="仿宋_GB2312" w:hAnsi="仿宋_GB2312" w:eastAsia="仿宋_GB2312" w:cs="仿宋_GB2312"/>
          <w:sz w:val="32"/>
          <w:szCs w:val="32"/>
        </w:rPr>
        <w:t>21.4</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98.17%</w:t>
      </w:r>
      <w:r>
        <w:rPr>
          <w:rFonts w:hint="eastAsia" w:ascii="仿宋_GB2312" w:hAnsi="仿宋_GB2312" w:eastAsia="仿宋_GB2312" w:cs="仿宋_GB2312"/>
          <w:sz w:val="32"/>
          <w:szCs w:val="32"/>
        </w:rPr>
        <w:t>，决算数与预算数基本持平。</w:t>
      </w:r>
    </w:p>
    <w:p>
      <w:pPr>
        <w:spacing w:line="560" w:lineRule="exact"/>
        <w:ind w:firstLine="640" w:firstLineChars="200"/>
        <w:rPr>
          <w:rFonts w:ascii="方正楷体简体" w:hAnsi="方正楷体简体" w:eastAsia="方正楷体简体"/>
          <w:sz w:val="32"/>
          <w:szCs w:val="32"/>
        </w:rPr>
      </w:pPr>
      <w:bookmarkStart w:id="45" w:name="_Toc15377217"/>
      <w:r>
        <w:rPr>
          <w:rFonts w:hint="eastAsia" w:ascii="方正楷体简体" w:hAnsi="方正楷体简体" w:eastAsia="方正楷体简体" w:cs="方正楷体简体"/>
          <w:sz w:val="32"/>
          <w:szCs w:val="32"/>
        </w:rPr>
        <w:t>（二）“三公”经费财政拨款支出决算具体情况说明</w:t>
      </w:r>
      <w:bookmarkEnd w:id="45"/>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年“三公”经费财政拨款支出决</w:t>
      </w:r>
      <w:r>
        <w:rPr>
          <w:rFonts w:hint="eastAsia" w:ascii="仿宋_GB2312" w:hAnsi="仿宋_GB2312" w:eastAsia="仿宋_GB2312" w:cs="仿宋_GB2312"/>
          <w:color w:val="auto"/>
          <w:sz w:val="32"/>
          <w:szCs w:val="32"/>
        </w:rPr>
        <w:t>算中，因公出国（境）费支出决算</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万元；公务用车购置及运行维护费支出决算</w:t>
      </w:r>
      <w:r>
        <w:rPr>
          <w:rFonts w:ascii="仿宋_GB2312" w:hAnsi="仿宋_GB2312" w:eastAsia="仿宋_GB2312" w:cs="仿宋_GB2312"/>
          <w:color w:val="auto"/>
          <w:sz w:val="32"/>
          <w:szCs w:val="32"/>
        </w:rPr>
        <w:t>21.4</w:t>
      </w:r>
      <w:r>
        <w:rPr>
          <w:rFonts w:hint="eastAsia" w:ascii="仿宋_GB2312" w:hAnsi="仿宋_GB2312" w:eastAsia="仿宋_GB2312" w:cs="仿宋_GB2312"/>
          <w:color w:val="auto"/>
          <w:sz w:val="32"/>
          <w:szCs w:val="32"/>
        </w:rPr>
        <w:t>万元，占</w:t>
      </w:r>
      <w:r>
        <w:rPr>
          <w:rFonts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rPr>
        <w:t>；公务接待费支出决算</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sz w:val="32"/>
          <w:szCs w:val="32"/>
        </w:rPr>
        <w:t>具体情况如下：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因公出国（境）经费支出0万元，年初未安排预算。</w:t>
      </w:r>
      <w:r>
        <w:rPr>
          <w:rFonts w:hint="eastAsia" w:ascii="仿宋_GB2312" w:hAnsi="仿宋_GB2312" w:eastAsia="仿宋_GB2312" w:cs="仿宋_GB2312"/>
          <w:sz w:val="32"/>
          <w:szCs w:val="32"/>
          <w:lang w:eastAsia="zh-CN"/>
        </w:rPr>
        <w:t>与上年数无变化</w:t>
      </w:r>
      <w:r>
        <w:rPr>
          <w:rFonts w:hint="eastAsia" w:ascii="仿宋_GB2312" w:hAnsi="仿宋_GB2312" w:eastAsia="仿宋_GB2312" w:cs="仿宋_GB2312"/>
          <w:sz w:val="32"/>
          <w:szCs w:val="32"/>
          <w:lang w:val="en-US" w:eastAsia="zh-CN"/>
        </w:rPr>
        <w:t>/持平。</w:t>
      </w:r>
      <w:r>
        <w:rPr>
          <w:rFonts w:hint="eastAsia" w:ascii="仿宋_GB2312" w:hAnsi="仿宋_GB2312" w:eastAsia="仿宋_GB2312" w:cs="仿宋_GB2312"/>
          <w:sz w:val="32"/>
          <w:szCs w:val="32"/>
        </w:rPr>
        <w:t>主要原因是我单位无因公出国（境）事宜。</w:t>
      </w:r>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2. </w:t>
      </w:r>
      <w:r>
        <w:rPr>
          <w:rFonts w:hint="eastAsia" w:ascii="仿宋_GB2312" w:hAnsi="仿宋_GB2312" w:eastAsia="仿宋_GB2312" w:cs="仿宋_GB2312"/>
          <w:sz w:val="32"/>
          <w:szCs w:val="32"/>
        </w:rPr>
        <w:t>公务用车购置及运行维护费支出</w:t>
      </w:r>
      <w:r>
        <w:rPr>
          <w:rFonts w:ascii="仿宋_GB2312" w:hAnsi="仿宋_GB2312" w:eastAsia="仿宋_GB2312" w:cs="仿宋_GB2312"/>
          <w:sz w:val="32"/>
          <w:szCs w:val="32"/>
        </w:rPr>
        <w:t>21.4</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。公务用车购置及运行维护费支出决算比</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年增加</w:t>
      </w:r>
      <w:r>
        <w:rPr>
          <w:rFonts w:ascii="仿宋_GB2312" w:hAnsi="仿宋_GB2312" w:eastAsia="仿宋_GB2312" w:cs="仿宋_GB2312"/>
          <w:sz w:val="32"/>
          <w:szCs w:val="32"/>
        </w:rPr>
        <w:t>16.22</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313.13%</w:t>
      </w:r>
      <w:r>
        <w:rPr>
          <w:rFonts w:hint="eastAsia" w:ascii="仿宋_GB2312" w:hAnsi="仿宋_GB2312" w:eastAsia="仿宋_GB2312" w:cs="仿宋_GB2312"/>
          <w:sz w:val="32"/>
          <w:szCs w:val="32"/>
        </w:rPr>
        <w:t>。主要原因是车辆维修费增加。</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其中：截至2020年12月底，单位共有公务用车2辆，其中：轿车1辆、载客汽车1辆。</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公务用车运行维护费支出</w:t>
      </w:r>
      <w:r>
        <w:rPr>
          <w:rFonts w:ascii="仿宋_GB2312" w:hAnsi="仿宋_GB2312" w:eastAsia="仿宋_GB2312" w:cs="仿宋_GB2312"/>
          <w:sz w:val="32"/>
          <w:szCs w:val="32"/>
        </w:rPr>
        <w:t>21.4</w:t>
      </w:r>
      <w:r>
        <w:rPr>
          <w:rFonts w:hint="eastAsia" w:ascii="仿宋_GB2312" w:hAnsi="仿宋_GB2312" w:eastAsia="仿宋_GB2312" w:cs="仿宋_GB2312"/>
          <w:sz w:val="32"/>
          <w:szCs w:val="32"/>
        </w:rPr>
        <w:t>万元。主要用于城区广场日常维护管理等所需的公务用车燃料费、维修费、过路过桥费、保险费等支出。</w:t>
      </w:r>
    </w:p>
    <w:p>
      <w:pPr>
        <w:spacing w:line="560" w:lineRule="exact"/>
        <w:ind w:firstLine="640" w:firstLineChars="200"/>
        <w:rPr>
          <w:rFonts w:ascii="仿宋_GB2312" w:hAnsi="仿宋_GB2312" w:eastAsia="仿宋_GB2312"/>
          <w:color w:val="auto"/>
          <w:sz w:val="32"/>
          <w:szCs w:val="32"/>
        </w:rPr>
      </w:pPr>
      <w:r>
        <w:rPr>
          <w:rFonts w:ascii="仿宋_GB2312" w:hAnsi="仿宋_GB2312" w:eastAsia="仿宋_GB2312" w:cs="仿宋_GB2312"/>
          <w:color w:val="auto"/>
          <w:sz w:val="32"/>
          <w:szCs w:val="32"/>
        </w:rPr>
        <w:t xml:space="preserve">3. </w:t>
      </w:r>
      <w:r>
        <w:rPr>
          <w:rFonts w:hint="eastAsia" w:ascii="仿宋_GB2312" w:hAnsi="仿宋_GB2312" w:eastAsia="仿宋_GB2312" w:cs="仿宋_GB2312"/>
          <w:color w:val="auto"/>
          <w:sz w:val="32"/>
          <w:szCs w:val="32"/>
        </w:rPr>
        <w:t>公务接待费支出</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万元</w:t>
      </w:r>
      <w:bookmarkStart w:id="46" w:name="_Toc15396610"/>
      <w:bookmarkStart w:id="47" w:name="_Toc15377218"/>
      <w:r>
        <w:rPr>
          <w:rFonts w:hint="eastAsia" w:ascii="仿宋_GB2312" w:hAnsi="仿宋_GB2312" w:eastAsia="仿宋_GB2312" w:cs="仿宋_GB2312"/>
          <w:color w:val="auto"/>
          <w:sz w:val="32"/>
          <w:szCs w:val="32"/>
        </w:rPr>
        <w:t>，年初预算</w:t>
      </w:r>
      <w:r>
        <w:rPr>
          <w:rFonts w:ascii="仿宋_GB2312" w:hAnsi="仿宋_GB2312" w:eastAsia="仿宋_GB2312" w:cs="仿宋_GB2312"/>
          <w:color w:val="auto"/>
          <w:sz w:val="32"/>
          <w:szCs w:val="32"/>
        </w:rPr>
        <w:t>0.4</w:t>
      </w:r>
      <w:r>
        <w:rPr>
          <w:rFonts w:hint="eastAsia" w:ascii="仿宋_GB2312" w:hAnsi="仿宋_GB2312" w:eastAsia="仿宋_GB2312" w:cs="仿宋_GB2312"/>
          <w:color w:val="auto"/>
          <w:sz w:val="32"/>
          <w:szCs w:val="32"/>
        </w:rPr>
        <w:t>万元，完成预算</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。公务接待费支出决算</w:t>
      </w:r>
      <w:r>
        <w:rPr>
          <w:rFonts w:hint="eastAsia" w:ascii="仿宋_GB2312" w:hAnsi="仿宋_GB2312" w:eastAsia="仿宋_GB2312" w:cs="仿宋_GB2312"/>
          <w:color w:val="auto"/>
          <w:sz w:val="32"/>
          <w:szCs w:val="32"/>
          <w:lang w:eastAsia="zh-CN"/>
        </w:rPr>
        <w:t>与上年数无变化</w:t>
      </w:r>
      <w:r>
        <w:rPr>
          <w:rFonts w:hint="eastAsia" w:ascii="仿宋_GB2312" w:hAnsi="仿宋_GB2312" w:eastAsia="仿宋_GB2312" w:cs="仿宋_GB2312"/>
          <w:color w:val="auto"/>
          <w:sz w:val="32"/>
          <w:szCs w:val="32"/>
          <w:lang w:val="en-US" w:eastAsia="zh-CN"/>
        </w:rPr>
        <w:t>/持平。</w:t>
      </w:r>
      <w:r>
        <w:rPr>
          <w:rFonts w:hint="eastAsia" w:ascii="仿宋_GB2312" w:hAnsi="仿宋_GB2312" w:eastAsia="仿宋_GB2312" w:cs="仿宋_GB2312"/>
          <w:color w:val="auto"/>
          <w:sz w:val="32"/>
          <w:szCs w:val="32"/>
        </w:rPr>
        <w:t>主要原因是我单位无公务接待发生。</w:t>
      </w:r>
    </w:p>
    <w:p>
      <w:pPr>
        <w:spacing w:line="560" w:lineRule="exact"/>
        <w:ind w:firstLine="640" w:firstLineChars="200"/>
        <w:rPr>
          <w:rFonts w:ascii="方正黑体简体" w:hAnsi="方正黑体简体" w:eastAsia="方正黑体简体"/>
          <w:sz w:val="32"/>
          <w:szCs w:val="32"/>
        </w:rPr>
      </w:pPr>
      <w:r>
        <w:rPr>
          <w:rFonts w:hint="eastAsia" w:ascii="方正黑体简体" w:hAnsi="方正黑体简体" w:eastAsia="方正黑体简体" w:cs="方正黑体简体"/>
          <w:sz w:val="32"/>
          <w:szCs w:val="32"/>
        </w:rPr>
        <w:t>八、政府性基金预算支出决算情况说明</w:t>
      </w:r>
      <w:bookmarkEnd w:id="46"/>
      <w:bookmarkEnd w:id="47"/>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年政府性基金预算拨款支出</w:t>
      </w:r>
      <w:r>
        <w:rPr>
          <w:rFonts w:ascii="仿宋_GB2312" w:hAnsi="仿宋_GB2312" w:eastAsia="仿宋_GB2312" w:cs="仿宋_GB2312"/>
          <w:sz w:val="32"/>
          <w:szCs w:val="32"/>
        </w:rPr>
        <w:t>447.46</w:t>
      </w:r>
      <w:r>
        <w:rPr>
          <w:rFonts w:hint="eastAsia" w:ascii="仿宋_GB2312" w:hAnsi="仿宋_GB2312" w:eastAsia="仿宋_GB2312" w:cs="仿宋_GB2312"/>
          <w:sz w:val="32"/>
          <w:szCs w:val="32"/>
        </w:rPr>
        <w:t>万元。</w:t>
      </w:r>
    </w:p>
    <w:p>
      <w:pPr>
        <w:spacing w:line="560" w:lineRule="exact"/>
        <w:ind w:firstLine="640" w:firstLineChars="200"/>
        <w:rPr>
          <w:rFonts w:ascii="方正黑体简体" w:hAnsi="方正黑体简体" w:eastAsia="方正黑体简体"/>
          <w:sz w:val="32"/>
          <w:szCs w:val="32"/>
        </w:rPr>
      </w:pPr>
      <w:bookmarkStart w:id="48" w:name="_Toc15377219"/>
      <w:bookmarkStart w:id="49" w:name="_Toc15396611"/>
      <w:r>
        <w:rPr>
          <w:rFonts w:hint="eastAsia" w:ascii="方正黑体简体" w:hAnsi="方正黑体简体" w:eastAsia="方正黑体简体" w:cs="方正黑体简体"/>
          <w:sz w:val="32"/>
          <w:szCs w:val="32"/>
        </w:rPr>
        <w:t>九、国有资本经营预算支出决算情况说明</w:t>
      </w:r>
      <w:bookmarkEnd w:id="48"/>
      <w:bookmarkEnd w:id="49"/>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年国有资本经营预算拨款支出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p>
    <w:p>
      <w:pPr>
        <w:spacing w:line="560" w:lineRule="exact"/>
        <w:ind w:firstLine="640" w:firstLineChars="200"/>
        <w:rPr>
          <w:rFonts w:ascii="方正黑体简体" w:hAnsi="方正黑体简体" w:eastAsia="方正黑体简体"/>
          <w:sz w:val="32"/>
          <w:szCs w:val="32"/>
        </w:rPr>
      </w:pPr>
      <w:bookmarkStart w:id="50" w:name="_Toc15396612"/>
      <w:bookmarkStart w:id="51" w:name="_Toc15377221"/>
      <w:r>
        <w:rPr>
          <w:rFonts w:hint="eastAsia" w:ascii="方正黑体简体" w:hAnsi="方正黑体简体" w:eastAsia="方正黑体简体" w:cs="方正黑体简体"/>
          <w:sz w:val="32"/>
          <w:szCs w:val="32"/>
        </w:rPr>
        <w:t>十、其他重要事项的情况说明</w:t>
      </w:r>
      <w:bookmarkEnd w:id="50"/>
      <w:bookmarkEnd w:id="51"/>
    </w:p>
    <w:p>
      <w:pPr>
        <w:spacing w:line="560" w:lineRule="exact"/>
        <w:ind w:firstLine="640" w:firstLineChars="200"/>
        <w:rPr>
          <w:rFonts w:ascii="方正楷体简体" w:hAnsi="方正楷体简体" w:eastAsia="方正楷体简体"/>
          <w:sz w:val="32"/>
          <w:szCs w:val="32"/>
        </w:rPr>
      </w:pPr>
      <w:bookmarkStart w:id="52" w:name="_Toc15377222"/>
      <w:r>
        <w:rPr>
          <w:rFonts w:hint="eastAsia" w:ascii="方正楷体简体" w:hAnsi="方正楷体简体" w:eastAsia="方正楷体简体" w:cs="方正楷体简体"/>
          <w:sz w:val="32"/>
          <w:szCs w:val="32"/>
        </w:rPr>
        <w:t>（一）机关运行经费支出情况</w:t>
      </w:r>
      <w:bookmarkEnd w:id="52"/>
    </w:p>
    <w:p>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2020年，广元市城区广场服务中心机关运行经费支出0万元，年初未安排预算，与上年数无变化</w:t>
      </w:r>
      <w:r>
        <w:rPr>
          <w:rFonts w:hint="eastAsia" w:ascii="仿宋_GB2312" w:hAnsi="仿宋_GB2312" w:eastAsia="仿宋_GB2312" w:cs="仿宋_GB2312"/>
          <w:color w:val="auto"/>
          <w:sz w:val="32"/>
          <w:szCs w:val="32"/>
          <w:lang w:val="en-US" w:eastAsia="zh-CN"/>
        </w:rPr>
        <w:t>/持平。</w:t>
      </w:r>
      <w:bookmarkStart w:id="53" w:name="_Toc15377223"/>
    </w:p>
    <w:p>
      <w:pPr>
        <w:spacing w:line="560" w:lineRule="exact"/>
        <w:ind w:firstLine="640" w:firstLineChars="200"/>
        <w:rPr>
          <w:rFonts w:ascii="方正楷体简体" w:hAnsi="方正楷体简体" w:eastAsia="方正楷体简体"/>
          <w:sz w:val="32"/>
          <w:szCs w:val="32"/>
        </w:rPr>
      </w:pPr>
      <w:r>
        <w:rPr>
          <w:rFonts w:hint="eastAsia" w:ascii="方正楷体简体" w:hAnsi="方正楷体简体" w:eastAsia="方正楷体简体" w:cs="方正楷体简体"/>
          <w:sz w:val="32"/>
          <w:szCs w:val="32"/>
        </w:rPr>
        <w:t>（二）政府采购支出情况</w:t>
      </w:r>
      <w:bookmarkEnd w:id="53"/>
    </w:p>
    <w:p>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2020年，市城区广场服务中心政府采购支出总额0万元，年初未安排预算，与上年数无变化</w:t>
      </w:r>
      <w:r>
        <w:rPr>
          <w:rFonts w:hint="eastAsia" w:ascii="仿宋_GB2312" w:hAnsi="仿宋_GB2312" w:eastAsia="仿宋_GB2312" w:cs="仿宋_GB2312"/>
          <w:color w:val="auto"/>
          <w:sz w:val="32"/>
          <w:szCs w:val="32"/>
          <w:lang w:val="en-US" w:eastAsia="zh-CN"/>
        </w:rPr>
        <w:t>/持平。</w:t>
      </w:r>
    </w:p>
    <w:p>
      <w:pPr>
        <w:spacing w:line="560" w:lineRule="exact"/>
        <w:ind w:firstLine="640" w:firstLineChars="200"/>
        <w:rPr>
          <w:rFonts w:hint="eastAsia" w:ascii="方正楷体简体" w:hAnsi="方正楷体简体" w:eastAsia="方正楷体简体" w:cs="方正楷体简体"/>
          <w:sz w:val="32"/>
          <w:szCs w:val="32"/>
        </w:rPr>
      </w:pPr>
      <w:bookmarkStart w:id="54" w:name="_Toc15377224"/>
      <w:r>
        <w:rPr>
          <w:rFonts w:hint="eastAsia" w:ascii="方正楷体简体" w:hAnsi="方正楷体简体" w:eastAsia="方正楷体简体" w:cs="方正楷体简体"/>
          <w:sz w:val="32"/>
          <w:szCs w:val="32"/>
        </w:rPr>
        <w:t>（三）国有资产占有使用情况</w:t>
      </w:r>
      <w:bookmarkEnd w:id="54"/>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截至2020年12月31日，市城区广场服务中心共有车辆</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val="en-US" w:eastAsia="zh-CN"/>
        </w:rPr>
        <w:t>属于</w:t>
      </w:r>
      <w:r>
        <w:rPr>
          <w:rFonts w:hint="eastAsia" w:ascii="仿宋_GB2312" w:hAnsi="仿宋_GB2312" w:eastAsia="仿宋_GB2312" w:cs="仿宋_GB2312"/>
          <w:sz w:val="32"/>
          <w:szCs w:val="32"/>
        </w:rPr>
        <w:t>其他用车</w:t>
      </w:r>
      <w:r>
        <w:rPr>
          <w:rFonts w:hint="eastAsia" w:ascii="仿宋_GB2312" w:hAnsi="仿宋_GB2312" w:eastAsia="仿宋_GB2312" w:cs="仿宋_GB2312"/>
          <w:sz w:val="32"/>
          <w:szCs w:val="32"/>
          <w:lang w:val="en-US" w:eastAsia="zh-CN"/>
        </w:rPr>
        <w:t>5辆</w:t>
      </w:r>
      <w:r>
        <w:rPr>
          <w:rFonts w:hint="eastAsia" w:ascii="仿宋_GB2312" w:hAnsi="仿宋_GB2312" w:eastAsia="仿宋_GB2312" w:cs="仿宋_GB2312"/>
          <w:sz w:val="32"/>
          <w:szCs w:val="32"/>
        </w:rPr>
        <w:t>。主要是用于城区广场管理日常维护方面用车。单价50万元以上通用设备1台（套），单价100万元以上专用设备0台（套）。</w:t>
      </w:r>
    </w:p>
    <w:p>
      <w:pPr>
        <w:spacing w:line="560" w:lineRule="exact"/>
        <w:ind w:firstLine="640" w:firstLineChars="200"/>
        <w:rPr>
          <w:rFonts w:ascii="方正楷体简体" w:hAnsi="方正楷体简体" w:eastAsia="方正楷体简体"/>
          <w:sz w:val="32"/>
          <w:szCs w:val="32"/>
        </w:rPr>
      </w:pPr>
      <w:r>
        <w:rPr>
          <w:rFonts w:hint="eastAsia" w:ascii="方正楷体简体" w:hAnsi="方正楷体简体" w:eastAsia="方正楷体简体" w:cs="方正楷体简体"/>
          <w:sz w:val="32"/>
          <w:szCs w:val="32"/>
        </w:rPr>
        <w:t>（四）预算绩效管理情况</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根据预算绩效管理要求，本部门（单位）在年初预算编制阶段，组织对广场维护管理项目开展了预算事前绩效评估，对</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个项目开展绩效监控，年终未执行完毕，未开展绩效目标完成情况自评。</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年部门整体支出开展绩效自评，从评价情况来看我中心</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年部门支出绩效整体执行较好，达到了预期目标，较好的完成了</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年城区广场的日常维护管理工作，为市民提供了良好的休闲场所。因我中心项目支出未执行完毕，未组织开展项目支出绩效评价。</w:t>
      </w:r>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1. </w:t>
      </w:r>
      <w:r>
        <w:rPr>
          <w:rFonts w:hint="eastAsia" w:ascii="仿宋_GB2312" w:hAnsi="仿宋_GB2312" w:eastAsia="仿宋_GB2312" w:cs="仿宋_GB2312"/>
          <w:sz w:val="32"/>
          <w:szCs w:val="32"/>
        </w:rPr>
        <w:t>项目绩效目标完成情况。</w:t>
      </w:r>
      <w:r>
        <w:rPr>
          <w:rFonts w:ascii="仿宋_GB2312" w:hAnsi="仿宋_GB2312" w:eastAsia="仿宋_GB2312"/>
          <w:sz w:val="32"/>
          <w:szCs w:val="32"/>
        </w:rPr>
        <w:br/>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年度部门决算中反映广场维护管理项目</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个，项目绩效目标实际未完成。</w:t>
      </w:r>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2. </w:t>
      </w:r>
      <w:r>
        <w:rPr>
          <w:rFonts w:hint="eastAsia" w:ascii="仿宋_GB2312" w:hAnsi="仿宋_GB2312" w:eastAsia="仿宋_GB2312" w:cs="仿宋_GB2312"/>
          <w:sz w:val="32"/>
          <w:szCs w:val="32"/>
        </w:rPr>
        <w:t>部门绩效评价结果。</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年部门整体支出绩效评价情况开展自评，《广元市城区广场服务中心</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本部门未组织对广场维护管理项目开展绩效评价。</w:t>
      </w:r>
    </w:p>
    <w:p>
      <w:pPr>
        <w:spacing w:line="560" w:lineRule="exact"/>
        <w:rPr>
          <w:rFonts w:ascii="仿宋_GB2312" w:hAnsi="仿宋_GB2312" w:eastAsia="仿宋_GB2312"/>
          <w:sz w:val="32"/>
          <w:szCs w:val="32"/>
        </w:rPr>
      </w:pPr>
    </w:p>
    <w:p>
      <w:pPr>
        <w:spacing w:line="560" w:lineRule="exact"/>
        <w:jc w:val="center"/>
        <w:rPr>
          <w:rFonts w:ascii="方正小标宋简体" w:hAnsi="方正小标宋简体" w:eastAsia="方正小标宋简体"/>
          <w:sz w:val="44"/>
          <w:szCs w:val="44"/>
        </w:rPr>
      </w:pPr>
      <w:bookmarkStart w:id="55" w:name="_Toc15377225"/>
      <w:bookmarkStart w:id="56" w:name="_Toc15396613"/>
      <w:r>
        <w:rPr>
          <w:rFonts w:hint="eastAsia" w:ascii="方正小标宋简体" w:hAnsi="方正小标宋简体" w:eastAsia="方正小标宋简体" w:cs="方正小标宋简体"/>
          <w:sz w:val="44"/>
          <w:szCs w:val="44"/>
        </w:rPr>
        <w:t>名词解释</w:t>
      </w:r>
      <w:bookmarkEnd w:id="55"/>
      <w:bookmarkEnd w:id="56"/>
    </w:p>
    <w:p>
      <w:pPr>
        <w:spacing w:line="560" w:lineRule="exact"/>
        <w:ind w:firstLine="640" w:firstLineChars="200"/>
        <w:rPr>
          <w:rFonts w:ascii="仿宋_GB2312" w:hAnsi="仿宋_GB2312" w:eastAsia="仿宋_GB2312"/>
          <w:sz w:val="32"/>
          <w:szCs w:val="32"/>
        </w:rPr>
      </w:pPr>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1. </w:t>
      </w:r>
      <w:r>
        <w:rPr>
          <w:rFonts w:hint="eastAsia" w:ascii="仿宋_GB2312" w:hAnsi="仿宋_GB2312" w:eastAsia="仿宋_GB2312" w:cs="仿宋_GB2312"/>
          <w:sz w:val="32"/>
          <w:szCs w:val="32"/>
        </w:rPr>
        <w:t>财政拨款收入：指单位从同级财政部门取得的财政预算资金。</w:t>
      </w:r>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2. </w:t>
      </w:r>
      <w:r>
        <w:rPr>
          <w:rFonts w:hint="eastAsia" w:ascii="仿宋_GB2312" w:hAnsi="仿宋_GB2312" w:eastAsia="仿宋_GB2312" w:cs="仿宋_GB2312"/>
          <w:sz w:val="32"/>
          <w:szCs w:val="32"/>
        </w:rPr>
        <w:t>其他收入：指单位取得的除上述收入以外的各项收入。主要是利息、上级部门拨款、财政拨入暂存代管资金等。</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年初结转和结余：指以前年度尚未完成、结转到本年按有关规定继续使用的资金。</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年末结转和结余：指单位按有关规定结转到下年或以后年度继续使用的资金。</w:t>
      </w:r>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5. </w:t>
      </w:r>
      <w:r>
        <w:rPr>
          <w:rFonts w:hint="eastAsia" w:ascii="仿宋_GB2312" w:hAnsi="仿宋_GB2312" w:eastAsia="仿宋_GB2312" w:cs="仿宋_GB2312"/>
          <w:sz w:val="32"/>
          <w:szCs w:val="32"/>
        </w:rPr>
        <w:t>社会保障和就业支出（类）行政事业单位养老支出（款）</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机关事业单位基本养老保险缴费支出（项）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指反映部门实施养老保险制度由单位缴纳的养老保险费的支出。</w:t>
      </w:r>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6. </w:t>
      </w:r>
      <w:r>
        <w:rPr>
          <w:rFonts w:hint="eastAsia" w:ascii="仿宋_GB2312" w:hAnsi="仿宋_GB2312" w:eastAsia="仿宋_GB2312" w:cs="仿宋_GB2312"/>
          <w:sz w:val="32"/>
          <w:szCs w:val="32"/>
        </w:rPr>
        <w:t>卫生健康支出（类）行政事业单位医疗（款）</w:t>
      </w:r>
      <w:r>
        <w:rPr>
          <w:rFonts w:ascii="仿宋_GB2312" w:hAnsi="仿宋_GB2312" w:eastAsia="仿宋_GB2312"/>
          <w:sz w:val="32"/>
          <w:szCs w:val="32"/>
        </w:rPr>
        <w:t> </w:t>
      </w:r>
      <w:r>
        <w:rPr>
          <w:rFonts w:hint="eastAsia" w:ascii="仿宋_GB2312" w:hAnsi="仿宋_GB2312" w:eastAsia="仿宋_GB2312" w:cs="仿宋_GB2312"/>
          <w:sz w:val="32"/>
          <w:szCs w:val="32"/>
        </w:rPr>
        <w:t>事业单位医疗（项）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指事业单位用于单位缴纳基本医疗保险费支出。</w:t>
      </w:r>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7. </w:t>
      </w:r>
      <w:r>
        <w:rPr>
          <w:rFonts w:hint="eastAsia" w:ascii="仿宋_GB2312" w:hAnsi="仿宋_GB2312" w:eastAsia="仿宋_GB2312" w:cs="仿宋_GB2312"/>
          <w:sz w:val="32"/>
          <w:szCs w:val="32"/>
        </w:rPr>
        <w:t>城乡社区支出（类）城乡社区管理事务（款）城管执法（项）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指用于城市管理方面的资金支出。</w:t>
      </w:r>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8. </w:t>
      </w:r>
      <w:r>
        <w:rPr>
          <w:rFonts w:hint="eastAsia" w:ascii="仿宋_GB2312" w:hAnsi="仿宋_GB2312" w:eastAsia="仿宋_GB2312" w:cs="仿宋_GB2312"/>
          <w:sz w:val="32"/>
          <w:szCs w:val="32"/>
        </w:rPr>
        <w:t>城乡社区支出（类）城市基础设施配套费安排的支出（款）城市环境卫生（项）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指反映城区各广场清扫保洁、垃圾清运、设施设备维护、园林绿化等方面的支出。</w:t>
      </w:r>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9. </w:t>
      </w:r>
      <w:r>
        <w:rPr>
          <w:rFonts w:hint="eastAsia" w:ascii="仿宋_GB2312" w:hAnsi="仿宋_GB2312" w:eastAsia="仿宋_GB2312" w:cs="仿宋_GB2312"/>
          <w:sz w:val="32"/>
          <w:szCs w:val="32"/>
        </w:rPr>
        <w:t>农林水支出（类）林业和草原（款）森林资源培育（项）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指园林绿化、改造等方面的支出</w:t>
      </w:r>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10. </w:t>
      </w:r>
      <w:r>
        <w:rPr>
          <w:rFonts w:hint="eastAsia" w:ascii="仿宋_GB2312" w:hAnsi="仿宋_GB2312" w:eastAsia="仿宋_GB2312" w:cs="仿宋_GB2312"/>
          <w:sz w:val="32"/>
          <w:szCs w:val="32"/>
        </w:rPr>
        <w:t>住房保障支出（类）住房改革支出（款）住房公积金（项）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指反映事业单位按人力资源和社会保障部、财政部规定的基本工资和津补贴以及规定比例为职工缴纳的住房公积金。</w:t>
      </w:r>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11. </w:t>
      </w:r>
      <w:r>
        <w:rPr>
          <w:rFonts w:hint="eastAsia" w:ascii="仿宋_GB2312" w:hAnsi="仿宋_GB2312" w:eastAsia="仿宋_GB2312" w:cs="仿宋_GB2312"/>
          <w:sz w:val="32"/>
          <w:szCs w:val="32"/>
        </w:rPr>
        <w:t>基本支出：指为保障机构正常运转、完成日常工作任务而发生的人员支出和公用支出。</w:t>
      </w:r>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12. </w:t>
      </w:r>
      <w:r>
        <w:rPr>
          <w:rFonts w:hint="eastAsia" w:ascii="仿宋_GB2312" w:hAnsi="仿宋_GB2312" w:eastAsia="仿宋_GB2312" w:cs="仿宋_GB2312"/>
          <w:sz w:val="32"/>
          <w:szCs w:val="32"/>
        </w:rPr>
        <w:t>项目支出：指在基本支出之外为完成事业发展目标所发生的支出。</w:t>
      </w:r>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13.</w:t>
      </w:r>
      <w:r>
        <w:rPr>
          <w:rFonts w:hint="eastAsia" w:ascii="仿宋_GB2312" w:hAns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1"/>
          <w:rFonts w:ascii="方正小标宋简体" w:hAnsi="方正小标宋简体" w:eastAsia="方正小标宋简体"/>
          <w:b w:val="0"/>
          <w:bCs w:val="0"/>
        </w:rPr>
      </w:pPr>
      <w:bookmarkStart w:id="57" w:name="_Toc15377226"/>
      <w:r>
        <w:rPr>
          <w:rFonts w:ascii="宋体"/>
          <w:b/>
          <w:bCs/>
          <w:color w:val="000000"/>
          <w:sz w:val="44"/>
          <w:szCs w:val="44"/>
        </w:rPr>
        <w:br w:type="page"/>
      </w:r>
      <w:bookmarkStart w:id="58" w:name="_Toc15396614"/>
      <w:r>
        <w:rPr>
          <w:rFonts w:hint="eastAsia" w:ascii="方正小标宋简体" w:hAnsi="方正小标宋简体" w:eastAsia="方正小标宋简体" w:cs="方正小标宋简体"/>
          <w:color w:val="000000"/>
          <w:sz w:val="44"/>
          <w:szCs w:val="44"/>
        </w:rPr>
        <w:t>第</w:t>
      </w:r>
      <w:r>
        <w:rPr>
          <w:rStyle w:val="21"/>
          <w:rFonts w:hint="eastAsia" w:ascii="方正小标宋简体" w:hAnsi="方正小标宋简体" w:eastAsia="方正小标宋简体" w:cs="方正小标宋简体"/>
          <w:b w:val="0"/>
          <w:bCs w:val="0"/>
        </w:rPr>
        <w:t>四部分</w:t>
      </w:r>
      <w:r>
        <w:rPr>
          <w:rStyle w:val="21"/>
          <w:rFonts w:ascii="方正小标宋简体" w:hAnsi="方正小标宋简体" w:eastAsia="方正小标宋简体" w:cs="方正小标宋简体"/>
          <w:b w:val="0"/>
          <w:bCs w:val="0"/>
        </w:rPr>
        <w:t xml:space="preserve">  </w:t>
      </w:r>
      <w:r>
        <w:rPr>
          <w:rStyle w:val="21"/>
          <w:rFonts w:hint="eastAsia" w:ascii="方正小标宋简体" w:hAnsi="方正小标宋简体" w:eastAsia="方正小标宋简体" w:cs="方正小标宋简体"/>
          <w:b w:val="0"/>
          <w:bCs w:val="0"/>
        </w:rPr>
        <w:t>附件</w:t>
      </w:r>
      <w:bookmarkEnd w:id="58"/>
    </w:p>
    <w:p>
      <w:pPr>
        <w:spacing w:line="600" w:lineRule="exact"/>
        <w:jc w:val="left"/>
        <w:outlineLvl w:val="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附件</w:t>
      </w:r>
      <w:r>
        <w:rPr>
          <w:rFonts w:ascii="方正黑体简体" w:hAnsi="方正黑体简体" w:eastAsia="方正黑体简体" w:cs="方正黑体简体"/>
          <w:sz w:val="32"/>
          <w:szCs w:val="32"/>
        </w:rPr>
        <w:t>1</w:t>
      </w:r>
    </w:p>
    <w:p>
      <w:pPr>
        <w:spacing w:line="580" w:lineRule="exact"/>
        <w:jc w:val="center"/>
        <w:rPr>
          <w:rFonts w:ascii="方正小标宋简体" w:hAnsi="方正小标宋简体" w:eastAsia="方正小标宋简体"/>
          <w:sz w:val="44"/>
          <w:szCs w:val="44"/>
        </w:rPr>
      </w:pPr>
    </w:p>
    <w:p>
      <w:pPr>
        <w:spacing w:line="700" w:lineRule="exact"/>
        <w:jc w:val="center"/>
        <w:rPr>
          <w:rFonts w:ascii="方正小标宋简体" w:hAnsi="宋体" w:eastAsia="方正小标宋简体"/>
          <w:color w:val="000000"/>
          <w:kern w:val="0"/>
          <w:sz w:val="44"/>
          <w:szCs w:val="44"/>
        </w:rPr>
      </w:pPr>
      <w:r>
        <w:rPr>
          <w:rFonts w:hint="eastAsia" w:ascii="方正小标宋简体" w:hAnsi="宋体" w:eastAsia="方正小标宋简体" w:cs="方正小标宋简体"/>
          <w:color w:val="000000"/>
          <w:kern w:val="0"/>
          <w:sz w:val="44"/>
          <w:szCs w:val="44"/>
        </w:rPr>
        <w:t>广元市城区广场服务中心</w:t>
      </w:r>
    </w:p>
    <w:p>
      <w:pPr>
        <w:spacing w:line="700" w:lineRule="exact"/>
        <w:jc w:val="center"/>
        <w:rPr>
          <w:rFonts w:ascii="方正小标宋简体" w:hAnsi="宋体" w:eastAsia="方正小标宋简体"/>
          <w:color w:val="000000"/>
          <w:kern w:val="0"/>
          <w:sz w:val="44"/>
          <w:szCs w:val="44"/>
          <w:lang w:val="zh-CN"/>
        </w:rPr>
      </w:pPr>
      <w:r>
        <w:rPr>
          <w:rFonts w:ascii="方正小标宋简体" w:hAnsi="宋体" w:eastAsia="方正小标宋简体" w:cs="方正小标宋简体"/>
          <w:color w:val="000000"/>
          <w:kern w:val="0"/>
          <w:sz w:val="44"/>
          <w:szCs w:val="44"/>
        </w:rPr>
        <w:t>2020</w:t>
      </w:r>
      <w:r>
        <w:rPr>
          <w:rFonts w:hint="eastAsia" w:ascii="方正小标宋简体" w:hAnsi="宋体" w:eastAsia="方正小标宋简体" w:cs="方正小标宋简体"/>
          <w:color w:val="000000"/>
          <w:kern w:val="0"/>
          <w:sz w:val="44"/>
          <w:szCs w:val="44"/>
        </w:rPr>
        <w:t>年部门</w:t>
      </w:r>
      <w:r>
        <w:rPr>
          <w:rFonts w:hint="eastAsia" w:ascii="方正小标宋简体" w:hAnsi="宋体" w:eastAsia="方正小标宋简体" w:cs="方正小标宋简体"/>
          <w:color w:val="000000"/>
          <w:kern w:val="0"/>
          <w:sz w:val="44"/>
          <w:szCs w:val="44"/>
          <w:lang w:val="zh-CN"/>
        </w:rPr>
        <w:t>整体支出绩效评价报告</w:t>
      </w:r>
    </w:p>
    <w:p>
      <w:pPr>
        <w:widowControl/>
        <w:adjustRightInd w:val="0"/>
        <w:snapToGrid w:val="0"/>
        <w:spacing w:line="576" w:lineRule="exact"/>
        <w:ind w:firstLine="480" w:firstLineChars="200"/>
        <w:jc w:val="left"/>
        <w:rPr>
          <w:rFonts w:ascii="黑体" w:hAnsi="宋体" w:eastAsia="黑体"/>
          <w:color w:val="FF0000"/>
          <w:kern w:val="0"/>
          <w:sz w:val="24"/>
          <w:szCs w:val="24"/>
          <w:shd w:val="clear" w:color="auto" w:fill="FFFFFF"/>
        </w:rPr>
      </w:pPr>
    </w:p>
    <w:p>
      <w:pPr>
        <w:spacing w:line="576" w:lineRule="exact"/>
        <w:ind w:firstLine="640" w:firstLineChars="200"/>
        <w:jc w:val="left"/>
        <w:outlineLvl w:val="0"/>
        <w:rPr>
          <w:rFonts w:ascii="方正黑体简体" w:hAnsi="方正黑体简体" w:eastAsia="方正黑体简体"/>
          <w:sz w:val="32"/>
          <w:szCs w:val="32"/>
          <w:lang w:val="zh-CN"/>
        </w:rPr>
      </w:pPr>
      <w:r>
        <w:rPr>
          <w:rFonts w:hint="eastAsia" w:ascii="方正黑体简体" w:hAnsi="方正黑体简体" w:eastAsia="方正黑体简体" w:cs="方正黑体简体"/>
          <w:sz w:val="32"/>
          <w:szCs w:val="32"/>
        </w:rPr>
        <w:t>一、</w:t>
      </w:r>
      <w:r>
        <w:rPr>
          <w:rFonts w:hint="eastAsia" w:ascii="方正黑体简体" w:hAnsi="方正黑体简体" w:eastAsia="方正黑体简体" w:cs="方正黑体简体"/>
          <w:sz w:val="32"/>
          <w:szCs w:val="32"/>
          <w:lang w:val="zh-CN"/>
        </w:rPr>
        <w:t>部门（单位）概况</w:t>
      </w:r>
    </w:p>
    <w:p>
      <w:pPr>
        <w:widowControl/>
        <w:adjustRightInd w:val="0"/>
        <w:snapToGrid w:val="0"/>
        <w:spacing w:line="576" w:lineRule="exact"/>
        <w:ind w:firstLine="640" w:firstLineChars="200"/>
        <w:jc w:val="left"/>
        <w:rPr>
          <w:rFonts w:ascii="方正楷体简体" w:hAnsi="方正楷体简体" w:eastAsia="方正楷体简体"/>
          <w:color w:val="000000"/>
          <w:kern w:val="0"/>
          <w:sz w:val="32"/>
          <w:szCs w:val="32"/>
          <w:shd w:val="clear" w:color="auto" w:fill="FFFFFF"/>
          <w:lang w:val="zh-CN"/>
        </w:rPr>
      </w:pPr>
      <w:r>
        <w:rPr>
          <w:rFonts w:hint="eastAsia" w:ascii="方正楷体简体" w:hAnsi="方正楷体简体" w:eastAsia="方正楷体简体" w:cs="方正楷体简体"/>
          <w:color w:val="000000"/>
          <w:kern w:val="0"/>
          <w:sz w:val="32"/>
          <w:szCs w:val="32"/>
          <w:shd w:val="clear" w:color="auto" w:fill="FFFFFF"/>
          <w:lang w:val="zh-CN"/>
        </w:rPr>
        <w:t>（一）机构组成</w:t>
      </w:r>
    </w:p>
    <w:p>
      <w:pPr>
        <w:widowControl/>
        <w:adjustRightInd w:val="0"/>
        <w:snapToGrid w:val="0"/>
        <w:spacing w:line="576" w:lineRule="exact"/>
        <w:ind w:firstLine="640" w:firstLineChars="200"/>
        <w:jc w:val="left"/>
        <w:rPr>
          <w:rFonts w:ascii="仿宋_GB2312" w:hAnsi="宋体" w:eastAsia="仿宋_GB2312"/>
          <w:color w:val="000000"/>
          <w:kern w:val="0"/>
          <w:sz w:val="32"/>
          <w:szCs w:val="32"/>
          <w:shd w:val="clear" w:color="auto" w:fill="FFFFFF"/>
          <w:lang w:val="zh-CN"/>
        </w:rPr>
      </w:pPr>
      <w:r>
        <w:rPr>
          <w:rFonts w:hint="eastAsia" w:ascii="仿宋_GB2312" w:hAnsi="宋体" w:eastAsia="仿宋_GB2312" w:cs="仿宋_GB2312"/>
          <w:color w:val="000000"/>
          <w:kern w:val="0"/>
          <w:sz w:val="32"/>
          <w:szCs w:val="32"/>
          <w:shd w:val="clear" w:color="auto" w:fill="FFFFFF"/>
          <w:lang w:val="zh-CN"/>
        </w:rPr>
        <w:t>广元市城区广场服务中心为公益一类全额拨款事业单位，属于广元市城市管理行政执法局二级单位。</w:t>
      </w:r>
    </w:p>
    <w:p>
      <w:pPr>
        <w:widowControl/>
        <w:adjustRightInd w:val="0"/>
        <w:snapToGrid w:val="0"/>
        <w:spacing w:line="576" w:lineRule="exact"/>
        <w:ind w:firstLine="640" w:firstLineChars="200"/>
        <w:jc w:val="left"/>
        <w:rPr>
          <w:rFonts w:ascii="方正楷体简体" w:hAnsi="方正楷体简体" w:eastAsia="方正楷体简体"/>
          <w:color w:val="000000"/>
          <w:kern w:val="0"/>
          <w:sz w:val="32"/>
          <w:szCs w:val="32"/>
          <w:shd w:val="clear" w:color="auto" w:fill="FFFFFF"/>
          <w:lang w:val="zh-CN"/>
        </w:rPr>
      </w:pPr>
      <w:r>
        <w:rPr>
          <w:rFonts w:hint="eastAsia" w:ascii="方正楷体简体" w:hAnsi="方正楷体简体" w:eastAsia="方正楷体简体" w:cs="方正楷体简体"/>
          <w:color w:val="000000"/>
          <w:kern w:val="0"/>
          <w:sz w:val="32"/>
          <w:szCs w:val="32"/>
          <w:shd w:val="clear" w:color="auto" w:fill="FFFFFF"/>
          <w:lang w:val="zh-CN"/>
        </w:rPr>
        <w:t>（二）机构职能</w:t>
      </w:r>
    </w:p>
    <w:p>
      <w:pPr>
        <w:widowControl/>
        <w:adjustRightInd w:val="0"/>
        <w:snapToGrid w:val="0"/>
        <w:spacing w:line="576" w:lineRule="exact"/>
        <w:ind w:firstLine="640" w:firstLineChars="200"/>
        <w:jc w:val="left"/>
        <w:rPr>
          <w:rFonts w:ascii="仿宋_GB2312" w:hAnsi="宋体" w:eastAsia="仿宋_GB2312"/>
          <w:color w:val="000000"/>
          <w:kern w:val="0"/>
          <w:sz w:val="32"/>
          <w:szCs w:val="32"/>
          <w:shd w:val="clear" w:color="auto" w:fill="FFFFFF"/>
          <w:lang w:val="zh-CN"/>
        </w:rPr>
      </w:pPr>
      <w:r>
        <w:rPr>
          <w:rFonts w:hint="eastAsia" w:ascii="仿宋_GB2312" w:hAnsi="宋体" w:eastAsia="仿宋_GB2312" w:cs="仿宋_GB2312"/>
          <w:color w:val="000000"/>
          <w:kern w:val="0"/>
          <w:sz w:val="32"/>
          <w:szCs w:val="32"/>
          <w:shd w:val="clear" w:color="auto" w:fill="FFFFFF"/>
          <w:lang w:val="zh-CN"/>
        </w:rPr>
        <w:t>负责利州、苴国、万缘、嘉陵、南河广场及南河南岸绿化带、河堤的日常环境卫生、经营秩序、管理保障，以及日常绿化养护、病虫害防治及鲜花栽植，日常设施设备维修维护等工作。</w:t>
      </w:r>
    </w:p>
    <w:p>
      <w:pPr>
        <w:widowControl/>
        <w:adjustRightInd w:val="0"/>
        <w:snapToGrid w:val="0"/>
        <w:spacing w:line="576" w:lineRule="exact"/>
        <w:ind w:firstLine="640" w:firstLineChars="200"/>
        <w:jc w:val="left"/>
        <w:rPr>
          <w:rFonts w:ascii="方正楷体简体" w:hAnsi="方正楷体简体" w:eastAsia="方正楷体简体"/>
          <w:color w:val="000000"/>
          <w:kern w:val="0"/>
          <w:sz w:val="32"/>
          <w:szCs w:val="32"/>
          <w:shd w:val="clear" w:color="auto" w:fill="FFFFFF"/>
          <w:lang w:val="zh-CN"/>
        </w:rPr>
      </w:pPr>
      <w:r>
        <w:rPr>
          <w:rFonts w:hint="eastAsia" w:ascii="方正楷体简体" w:hAnsi="方正楷体简体" w:eastAsia="方正楷体简体" w:cs="方正楷体简体"/>
          <w:color w:val="000000"/>
          <w:kern w:val="0"/>
          <w:sz w:val="32"/>
          <w:szCs w:val="32"/>
          <w:shd w:val="clear" w:color="auto" w:fill="FFFFFF"/>
          <w:lang w:val="zh-CN"/>
        </w:rPr>
        <w:t>（三）人员概况</w:t>
      </w:r>
    </w:p>
    <w:p>
      <w:pPr>
        <w:widowControl/>
        <w:adjustRightInd w:val="0"/>
        <w:snapToGrid w:val="0"/>
        <w:spacing w:line="576" w:lineRule="exact"/>
        <w:ind w:firstLine="640" w:firstLineChars="200"/>
        <w:jc w:val="left"/>
        <w:rPr>
          <w:rFonts w:ascii="仿宋_GB2312" w:hAnsi="宋体" w:eastAsia="仿宋_GB2312"/>
          <w:color w:val="000000"/>
          <w:kern w:val="0"/>
          <w:sz w:val="32"/>
          <w:szCs w:val="32"/>
          <w:shd w:val="clear" w:color="auto" w:fill="FFFFFF"/>
          <w:lang w:val="zh-CN"/>
        </w:rPr>
      </w:pPr>
      <w:r>
        <w:rPr>
          <w:rFonts w:hint="eastAsia" w:ascii="仿宋_GB2312" w:hAnsi="仿宋_GB2312" w:eastAsia="仿宋_GB2312" w:cs="仿宋_GB2312"/>
          <w:sz w:val="32"/>
          <w:szCs w:val="32"/>
        </w:rPr>
        <w:t>广元市委编办核定</w:t>
      </w:r>
      <w:r>
        <w:rPr>
          <w:rFonts w:hint="eastAsia" w:ascii="仿宋_GB2312" w:hAnsi="宋体" w:eastAsia="仿宋_GB2312" w:cs="仿宋_GB2312"/>
          <w:color w:val="000000"/>
          <w:kern w:val="0"/>
          <w:sz w:val="32"/>
          <w:szCs w:val="32"/>
          <w:shd w:val="clear" w:color="auto" w:fill="FFFFFF"/>
          <w:lang w:val="zh-CN"/>
        </w:rPr>
        <w:t>事业编制</w:t>
      </w:r>
      <w:r>
        <w:rPr>
          <w:rFonts w:ascii="仿宋_GB2312" w:hAnsi="宋体" w:eastAsia="仿宋_GB2312" w:cs="仿宋_GB2312"/>
          <w:color w:val="000000"/>
          <w:kern w:val="0"/>
          <w:sz w:val="32"/>
          <w:szCs w:val="32"/>
          <w:shd w:val="clear" w:color="auto" w:fill="FFFFFF"/>
          <w:lang w:val="zh-CN"/>
        </w:rPr>
        <w:t>18</w:t>
      </w:r>
      <w:r>
        <w:rPr>
          <w:rFonts w:hint="eastAsia" w:ascii="仿宋_GB2312" w:hAnsi="宋体" w:eastAsia="仿宋_GB2312" w:cs="仿宋_GB2312"/>
          <w:color w:val="000000"/>
          <w:kern w:val="0"/>
          <w:sz w:val="32"/>
          <w:szCs w:val="32"/>
          <w:shd w:val="clear" w:color="auto" w:fill="FFFFFF"/>
          <w:lang w:val="zh-CN"/>
        </w:rPr>
        <w:t>名。目前实有干部职工</w:t>
      </w:r>
      <w:r>
        <w:rPr>
          <w:rFonts w:ascii="仿宋_GB2312" w:hAnsi="宋体" w:eastAsia="仿宋_GB2312" w:cs="仿宋_GB2312"/>
          <w:color w:val="000000"/>
          <w:kern w:val="0"/>
          <w:sz w:val="32"/>
          <w:szCs w:val="32"/>
          <w:shd w:val="clear" w:color="auto" w:fill="FFFFFF"/>
          <w:lang w:val="zh-CN"/>
        </w:rPr>
        <w:t>18</w:t>
      </w:r>
      <w:r>
        <w:rPr>
          <w:rFonts w:hint="eastAsia" w:ascii="仿宋_GB2312" w:hAnsi="宋体" w:eastAsia="仿宋_GB2312" w:cs="仿宋_GB2312"/>
          <w:color w:val="000000"/>
          <w:kern w:val="0"/>
          <w:sz w:val="32"/>
          <w:szCs w:val="32"/>
          <w:shd w:val="clear" w:color="auto" w:fill="FFFFFF"/>
          <w:lang w:val="zh-CN"/>
        </w:rPr>
        <w:t>人。</w:t>
      </w:r>
    </w:p>
    <w:p>
      <w:pPr>
        <w:spacing w:line="576" w:lineRule="exact"/>
        <w:ind w:firstLine="640" w:firstLineChars="200"/>
        <w:jc w:val="left"/>
        <w:outlineLvl w:val="0"/>
        <w:rPr>
          <w:rFonts w:ascii="方正黑体简体" w:hAnsi="方正黑体简体" w:eastAsia="方正黑体简体"/>
          <w:sz w:val="32"/>
          <w:szCs w:val="32"/>
          <w:lang w:val="zh-CN"/>
        </w:rPr>
      </w:pPr>
      <w:r>
        <w:rPr>
          <w:rFonts w:hint="eastAsia" w:ascii="方正黑体简体" w:hAnsi="方正黑体简体" w:eastAsia="方正黑体简体" w:cs="方正黑体简体"/>
          <w:sz w:val="32"/>
          <w:szCs w:val="32"/>
          <w:lang w:val="zh-CN"/>
        </w:rPr>
        <w:t>二、部门财政资金收支情况</w:t>
      </w:r>
    </w:p>
    <w:p>
      <w:pPr>
        <w:widowControl/>
        <w:adjustRightInd w:val="0"/>
        <w:snapToGrid w:val="0"/>
        <w:spacing w:line="576" w:lineRule="exact"/>
        <w:ind w:firstLine="640" w:firstLineChars="200"/>
        <w:jc w:val="left"/>
        <w:rPr>
          <w:rFonts w:ascii="方正楷体简体" w:hAnsi="方正楷体简体" w:eastAsia="方正楷体简体"/>
          <w:color w:val="000000"/>
          <w:kern w:val="0"/>
          <w:sz w:val="32"/>
          <w:szCs w:val="32"/>
          <w:shd w:val="clear" w:color="auto" w:fill="FFFFFF"/>
          <w:lang w:val="zh-CN"/>
        </w:rPr>
      </w:pPr>
      <w:r>
        <w:rPr>
          <w:rFonts w:hint="eastAsia" w:ascii="方正楷体简体" w:hAnsi="方正楷体简体" w:eastAsia="方正楷体简体" w:cs="方正楷体简体"/>
          <w:color w:val="000000"/>
          <w:kern w:val="0"/>
          <w:sz w:val="32"/>
          <w:szCs w:val="32"/>
          <w:shd w:val="clear" w:color="auto" w:fill="FFFFFF"/>
          <w:lang w:val="zh-CN"/>
        </w:rPr>
        <w:t>（一）部门财政资金收入情况。</w:t>
      </w:r>
    </w:p>
    <w:p>
      <w:pPr>
        <w:widowControl/>
        <w:adjustRightInd w:val="0"/>
        <w:snapToGrid w:val="0"/>
        <w:spacing w:line="576" w:lineRule="exact"/>
        <w:ind w:firstLine="640" w:firstLineChars="200"/>
        <w:jc w:val="left"/>
        <w:rPr>
          <w:rFonts w:ascii="仿宋_GB2312" w:hAnsi="仿宋_GB2312" w:eastAsia="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全年财政资金总收入</w:t>
      </w:r>
      <w:r>
        <w:rPr>
          <w:rFonts w:ascii="仿宋_GB2312" w:hAnsi="仿宋_GB2312" w:eastAsia="仿宋_GB2312" w:cs="仿宋_GB2312"/>
          <w:color w:val="000000"/>
          <w:kern w:val="0"/>
          <w:sz w:val="32"/>
          <w:szCs w:val="32"/>
          <w:shd w:val="clear" w:color="auto" w:fill="FFFFFF"/>
          <w:lang w:val="zh-CN"/>
        </w:rPr>
        <w:t>680.55</w:t>
      </w:r>
      <w:r>
        <w:rPr>
          <w:rFonts w:hint="eastAsia" w:ascii="仿宋_GB2312" w:hAnsi="仿宋_GB2312" w:eastAsia="仿宋_GB2312" w:cs="仿宋_GB2312"/>
          <w:color w:val="000000"/>
          <w:kern w:val="0"/>
          <w:sz w:val="32"/>
          <w:szCs w:val="32"/>
          <w:shd w:val="clear" w:color="auto" w:fill="FFFFFF"/>
          <w:lang w:val="zh-CN"/>
        </w:rPr>
        <w:t>万元。</w:t>
      </w:r>
    </w:p>
    <w:p>
      <w:pPr>
        <w:spacing w:line="576" w:lineRule="exact"/>
        <w:ind w:firstLine="640" w:firstLineChars="200"/>
        <w:rPr>
          <w:rFonts w:ascii="仿宋_GB2312" w:hAnsi="仿宋_GB2312" w:eastAsia="仿宋_GB2312"/>
          <w:color w:val="000000"/>
          <w:kern w:val="0"/>
          <w:sz w:val="32"/>
          <w:szCs w:val="32"/>
          <w:shd w:val="clear" w:color="auto" w:fill="FFFFFF"/>
          <w:lang w:val="zh-CN"/>
        </w:rPr>
      </w:pPr>
      <w:r>
        <w:rPr>
          <w:rFonts w:ascii="仿宋_GB2312" w:hAnsi="仿宋_GB2312" w:eastAsia="仿宋_GB2312" w:cs="仿宋_GB2312"/>
          <w:color w:val="000000"/>
          <w:kern w:val="0"/>
          <w:sz w:val="32"/>
          <w:szCs w:val="32"/>
          <w:shd w:val="clear" w:color="auto" w:fill="FFFFFF"/>
          <w:lang w:val="zh-CN"/>
        </w:rPr>
        <w:t>1</w:t>
      </w:r>
      <w:r>
        <w:rPr>
          <w:rFonts w:ascii="仿宋_GB2312" w:hAnsi="仿宋_GB2312" w:eastAsia="仿宋_GB2312" w:cs="仿宋_GB2312"/>
          <w:color w:val="000000"/>
          <w:kern w:val="0"/>
          <w:sz w:val="32"/>
          <w:szCs w:val="32"/>
          <w:shd w:val="clear" w:color="auto" w:fill="FFFFFF"/>
        </w:rPr>
        <w:t xml:space="preserve">. </w:t>
      </w:r>
      <w:r>
        <w:rPr>
          <w:rFonts w:hint="eastAsia" w:ascii="仿宋_GB2312" w:hAnsi="仿宋_GB2312" w:eastAsia="仿宋_GB2312" w:cs="仿宋_GB2312"/>
          <w:color w:val="000000"/>
          <w:kern w:val="0"/>
          <w:sz w:val="32"/>
          <w:szCs w:val="32"/>
          <w:shd w:val="clear" w:color="auto" w:fill="FFFFFF"/>
          <w:lang w:val="zh-CN"/>
        </w:rPr>
        <w:t>一般公共预算财政拨收入款</w:t>
      </w:r>
      <w:r>
        <w:rPr>
          <w:rFonts w:ascii="仿宋_GB2312" w:hAnsi="仿宋_GB2312" w:eastAsia="仿宋_GB2312" w:cs="仿宋_GB2312"/>
          <w:color w:val="000000"/>
          <w:kern w:val="0"/>
          <w:sz w:val="32"/>
          <w:szCs w:val="32"/>
          <w:shd w:val="clear" w:color="auto" w:fill="FFFFFF"/>
          <w:lang w:val="zh-CN"/>
        </w:rPr>
        <w:t>216.16</w:t>
      </w:r>
      <w:r>
        <w:rPr>
          <w:rFonts w:hint="eastAsia" w:ascii="仿宋_GB2312" w:hAnsi="仿宋_GB2312" w:eastAsia="仿宋_GB2312" w:cs="仿宋_GB2312"/>
          <w:color w:val="000000"/>
          <w:kern w:val="0"/>
          <w:sz w:val="32"/>
          <w:szCs w:val="32"/>
          <w:shd w:val="clear" w:color="auto" w:fill="FFFFFF"/>
          <w:lang w:val="zh-CN"/>
        </w:rPr>
        <w:t>万元</w:t>
      </w:r>
    </w:p>
    <w:p>
      <w:pPr>
        <w:spacing w:line="576" w:lineRule="exact"/>
        <w:ind w:firstLine="640" w:firstLineChars="200"/>
        <w:rPr>
          <w:rFonts w:ascii="仿宋_GB2312" w:hAnsi="仿宋_GB2312" w:eastAsia="仿宋_GB2312"/>
          <w:color w:val="000000"/>
          <w:kern w:val="0"/>
          <w:sz w:val="32"/>
          <w:szCs w:val="32"/>
          <w:shd w:val="clear" w:color="auto" w:fill="FFFFFF"/>
          <w:lang w:val="zh-CN"/>
        </w:rPr>
      </w:pPr>
      <w:r>
        <w:rPr>
          <w:rFonts w:ascii="仿宋_GB2312" w:hAnsi="仿宋_GB2312" w:eastAsia="仿宋_GB2312" w:cs="仿宋_GB2312"/>
          <w:color w:val="000000"/>
          <w:kern w:val="0"/>
          <w:sz w:val="32"/>
          <w:szCs w:val="32"/>
          <w:shd w:val="clear" w:color="auto" w:fill="FFFFFF"/>
          <w:lang w:val="zh-CN"/>
        </w:rPr>
        <w:t>2</w:t>
      </w:r>
      <w:r>
        <w:rPr>
          <w:rFonts w:ascii="仿宋_GB2312" w:hAnsi="仿宋_GB2312" w:eastAsia="仿宋_GB2312" w:cs="仿宋_GB2312"/>
          <w:color w:val="000000"/>
          <w:kern w:val="0"/>
          <w:sz w:val="32"/>
          <w:szCs w:val="32"/>
          <w:shd w:val="clear" w:color="auto" w:fill="FFFFFF"/>
        </w:rPr>
        <w:t xml:space="preserve">. </w:t>
      </w:r>
      <w:r>
        <w:rPr>
          <w:rFonts w:hint="eastAsia" w:ascii="仿宋_GB2312" w:hAnsi="仿宋_GB2312" w:eastAsia="仿宋_GB2312" w:cs="仿宋_GB2312"/>
          <w:color w:val="000000"/>
          <w:kern w:val="0"/>
          <w:sz w:val="32"/>
          <w:szCs w:val="32"/>
          <w:shd w:val="clear" w:color="auto" w:fill="FFFFFF"/>
          <w:lang w:val="zh-CN"/>
        </w:rPr>
        <w:t>政府性基金预算财政拨款</w:t>
      </w:r>
      <w:r>
        <w:rPr>
          <w:rFonts w:ascii="仿宋_GB2312" w:hAnsi="仿宋_GB2312" w:eastAsia="仿宋_GB2312" w:cs="仿宋_GB2312"/>
          <w:color w:val="000000"/>
          <w:kern w:val="0"/>
          <w:sz w:val="32"/>
          <w:szCs w:val="32"/>
          <w:shd w:val="clear" w:color="auto" w:fill="FFFFFF"/>
          <w:lang w:val="zh-CN"/>
        </w:rPr>
        <w:t>450.67</w:t>
      </w:r>
      <w:r>
        <w:rPr>
          <w:rFonts w:hint="eastAsia" w:ascii="仿宋_GB2312" w:hAnsi="仿宋_GB2312" w:eastAsia="仿宋_GB2312" w:cs="仿宋_GB2312"/>
          <w:color w:val="000000"/>
          <w:kern w:val="0"/>
          <w:sz w:val="32"/>
          <w:szCs w:val="32"/>
          <w:shd w:val="clear" w:color="auto" w:fill="FFFFFF"/>
          <w:lang w:val="zh-CN"/>
        </w:rPr>
        <w:t>万元</w:t>
      </w:r>
    </w:p>
    <w:p>
      <w:pPr>
        <w:spacing w:line="576" w:lineRule="exact"/>
        <w:ind w:firstLine="640" w:firstLineChars="200"/>
        <w:rPr>
          <w:rFonts w:ascii="仿宋_GB2312" w:hAnsi="仿宋_GB2312" w:eastAsia="仿宋_GB2312"/>
          <w:color w:val="000000"/>
          <w:kern w:val="0"/>
          <w:sz w:val="32"/>
          <w:szCs w:val="32"/>
          <w:shd w:val="clear" w:color="auto" w:fill="FFFFFF"/>
          <w:lang w:val="zh-CN"/>
        </w:rPr>
      </w:pPr>
      <w:r>
        <w:rPr>
          <w:rFonts w:ascii="仿宋_GB2312" w:hAnsi="仿宋_GB2312" w:eastAsia="仿宋_GB2312" w:cs="仿宋_GB2312"/>
          <w:color w:val="000000"/>
          <w:kern w:val="0"/>
          <w:sz w:val="32"/>
          <w:szCs w:val="32"/>
          <w:shd w:val="clear" w:color="auto" w:fill="FFFFFF"/>
          <w:lang w:val="zh-CN"/>
        </w:rPr>
        <w:t>3</w:t>
      </w:r>
      <w:r>
        <w:rPr>
          <w:rFonts w:ascii="仿宋_GB2312" w:hAnsi="仿宋_GB2312" w:eastAsia="仿宋_GB2312" w:cs="仿宋_GB2312"/>
          <w:color w:val="000000"/>
          <w:kern w:val="0"/>
          <w:sz w:val="32"/>
          <w:szCs w:val="32"/>
          <w:shd w:val="clear" w:color="auto" w:fill="FFFFFF"/>
        </w:rPr>
        <w:t xml:space="preserve">. </w:t>
      </w:r>
      <w:r>
        <w:rPr>
          <w:rFonts w:hint="eastAsia" w:ascii="仿宋_GB2312" w:hAnsi="仿宋_GB2312" w:eastAsia="仿宋_GB2312" w:cs="仿宋_GB2312"/>
          <w:color w:val="000000"/>
          <w:kern w:val="0"/>
          <w:sz w:val="32"/>
          <w:szCs w:val="32"/>
          <w:shd w:val="clear" w:color="auto" w:fill="FFFFFF"/>
          <w:lang w:val="zh-CN"/>
        </w:rPr>
        <w:t>去年结转资金</w:t>
      </w:r>
      <w:r>
        <w:rPr>
          <w:rFonts w:ascii="仿宋_GB2312" w:hAnsi="仿宋_GB2312" w:eastAsia="仿宋_GB2312" w:cs="仿宋_GB2312"/>
          <w:color w:val="000000"/>
          <w:kern w:val="0"/>
          <w:sz w:val="32"/>
          <w:szCs w:val="32"/>
          <w:shd w:val="clear" w:color="auto" w:fill="FFFFFF"/>
          <w:lang w:val="zh-CN"/>
        </w:rPr>
        <w:t>13.72</w:t>
      </w:r>
      <w:r>
        <w:rPr>
          <w:rFonts w:hint="eastAsia" w:ascii="仿宋_GB2312" w:hAnsi="仿宋_GB2312" w:eastAsia="仿宋_GB2312" w:cs="仿宋_GB2312"/>
          <w:color w:val="000000"/>
          <w:kern w:val="0"/>
          <w:sz w:val="32"/>
          <w:szCs w:val="32"/>
          <w:shd w:val="clear" w:color="auto" w:fill="FFFFFF"/>
          <w:lang w:val="zh-CN"/>
        </w:rPr>
        <w:t>万元</w:t>
      </w:r>
    </w:p>
    <w:p>
      <w:pPr>
        <w:widowControl/>
        <w:adjustRightInd w:val="0"/>
        <w:snapToGrid w:val="0"/>
        <w:spacing w:line="576" w:lineRule="exact"/>
        <w:ind w:firstLine="640" w:firstLineChars="200"/>
        <w:jc w:val="left"/>
        <w:rPr>
          <w:rFonts w:ascii="方正楷体简体" w:hAnsi="方正楷体简体" w:eastAsia="方正楷体简体"/>
          <w:color w:val="000000"/>
          <w:kern w:val="0"/>
          <w:sz w:val="32"/>
          <w:szCs w:val="32"/>
          <w:shd w:val="clear" w:color="auto" w:fill="FFFFFF"/>
          <w:lang w:val="zh-CN"/>
        </w:rPr>
      </w:pPr>
      <w:r>
        <w:rPr>
          <w:rFonts w:hint="eastAsia" w:ascii="方正楷体简体" w:hAnsi="方正楷体简体" w:eastAsia="方正楷体简体" w:cs="方正楷体简体"/>
          <w:color w:val="000000"/>
          <w:kern w:val="0"/>
          <w:sz w:val="32"/>
          <w:szCs w:val="32"/>
          <w:shd w:val="clear" w:color="auto" w:fill="FFFFFF"/>
          <w:lang w:val="zh-CN"/>
        </w:rPr>
        <w:t>（二）部门财政资金支出情况。</w:t>
      </w:r>
    </w:p>
    <w:p>
      <w:pPr>
        <w:widowControl/>
        <w:adjustRightInd w:val="0"/>
        <w:snapToGrid w:val="0"/>
        <w:spacing w:line="576" w:lineRule="exact"/>
        <w:ind w:firstLine="640" w:firstLineChars="200"/>
        <w:jc w:val="left"/>
        <w:rPr>
          <w:rFonts w:ascii="仿宋_GB2312" w:hAnsi="仿宋_GB2312" w:eastAsia="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全年财政资金支出</w:t>
      </w:r>
      <w:r>
        <w:rPr>
          <w:rFonts w:ascii="仿宋_GB2312" w:hAnsi="仿宋_GB2312" w:eastAsia="仿宋_GB2312" w:cs="仿宋_GB2312"/>
          <w:color w:val="000000"/>
          <w:kern w:val="0"/>
          <w:sz w:val="32"/>
          <w:szCs w:val="32"/>
          <w:shd w:val="clear" w:color="auto" w:fill="FFFFFF"/>
          <w:lang w:val="zh-CN"/>
        </w:rPr>
        <w:t>666.06</w:t>
      </w:r>
      <w:r>
        <w:rPr>
          <w:rFonts w:hint="eastAsia" w:ascii="仿宋_GB2312" w:hAnsi="仿宋_GB2312" w:eastAsia="仿宋_GB2312" w:cs="仿宋_GB2312"/>
          <w:color w:val="000000"/>
          <w:kern w:val="0"/>
          <w:sz w:val="32"/>
          <w:szCs w:val="32"/>
          <w:shd w:val="clear" w:color="auto" w:fill="FFFFFF"/>
          <w:lang w:val="zh-CN"/>
        </w:rPr>
        <w:t>万元。</w:t>
      </w:r>
    </w:p>
    <w:p>
      <w:pPr>
        <w:spacing w:line="576"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1. </w:t>
      </w:r>
      <w:r>
        <w:rPr>
          <w:rFonts w:hint="eastAsia" w:ascii="仿宋_GB2312" w:hAnsi="仿宋_GB2312" w:eastAsia="仿宋_GB2312" w:cs="仿宋_GB2312"/>
          <w:sz w:val="32"/>
          <w:szCs w:val="32"/>
        </w:rPr>
        <w:t>社会保障和就业支出</w:t>
      </w:r>
      <w:r>
        <w:rPr>
          <w:rFonts w:ascii="仿宋_GB2312" w:hAnsi="仿宋_GB2312" w:eastAsia="仿宋_GB2312" w:cs="仿宋_GB2312"/>
          <w:color w:val="000000"/>
          <w:kern w:val="0"/>
          <w:sz w:val="32"/>
          <w:szCs w:val="32"/>
          <w:shd w:val="clear" w:color="auto" w:fill="FFFFFF"/>
          <w:lang w:val="zh-CN"/>
        </w:rPr>
        <w:t>16.19</w:t>
      </w:r>
      <w:r>
        <w:rPr>
          <w:rFonts w:hint="eastAsia" w:ascii="仿宋_GB2312" w:hAnsi="仿宋_GB2312" w:eastAsia="仿宋_GB2312" w:cs="仿宋_GB2312"/>
          <w:sz w:val="32"/>
          <w:szCs w:val="32"/>
        </w:rPr>
        <w:t>万元</w:t>
      </w:r>
    </w:p>
    <w:p>
      <w:pPr>
        <w:spacing w:line="576" w:lineRule="exact"/>
        <w:ind w:firstLine="640" w:firstLineChars="200"/>
        <w:rPr>
          <w:rFonts w:ascii="仿宋_GB2312" w:hAnsi="仿宋_GB2312" w:eastAsia="仿宋_GB2312"/>
          <w:color w:val="000000"/>
          <w:sz w:val="32"/>
          <w:szCs w:val="32"/>
        </w:rPr>
      </w:pPr>
      <w:r>
        <w:rPr>
          <w:rFonts w:ascii="仿宋_GB2312" w:hAnsi="仿宋_GB2312" w:eastAsia="仿宋_GB2312" w:cs="仿宋_GB2312"/>
          <w:sz w:val="32"/>
          <w:szCs w:val="32"/>
        </w:rPr>
        <w:t xml:space="preserve">2. </w:t>
      </w:r>
      <w:r>
        <w:rPr>
          <w:rFonts w:hint="eastAsia" w:ascii="仿宋_GB2312" w:hAnsi="仿宋_GB2312" w:eastAsia="仿宋_GB2312" w:cs="仿宋_GB2312"/>
          <w:color w:val="000000"/>
          <w:sz w:val="32"/>
          <w:szCs w:val="32"/>
        </w:rPr>
        <w:t>卫生健康支出</w:t>
      </w:r>
      <w:r>
        <w:rPr>
          <w:rFonts w:ascii="仿宋_GB2312" w:hAnsi="仿宋_GB2312" w:eastAsia="仿宋_GB2312" w:cs="仿宋_GB2312"/>
          <w:color w:val="000000"/>
          <w:kern w:val="0"/>
          <w:sz w:val="32"/>
          <w:szCs w:val="32"/>
          <w:shd w:val="clear" w:color="auto" w:fill="FFFFFF"/>
          <w:lang w:val="zh-CN"/>
        </w:rPr>
        <w:t>7.59</w:t>
      </w:r>
      <w:r>
        <w:rPr>
          <w:rFonts w:hint="eastAsia" w:ascii="仿宋_GB2312" w:hAnsi="仿宋_GB2312" w:eastAsia="仿宋_GB2312" w:cs="仿宋_GB2312"/>
          <w:color w:val="000000"/>
          <w:sz w:val="32"/>
          <w:szCs w:val="32"/>
        </w:rPr>
        <w:t>万元</w:t>
      </w:r>
    </w:p>
    <w:p>
      <w:pPr>
        <w:spacing w:line="576"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3. </w:t>
      </w:r>
      <w:r>
        <w:rPr>
          <w:rFonts w:hint="eastAsia" w:ascii="仿宋_GB2312" w:hAnsi="仿宋_GB2312" w:eastAsia="仿宋_GB2312" w:cs="仿宋_GB2312"/>
          <w:sz w:val="32"/>
          <w:szCs w:val="32"/>
        </w:rPr>
        <w:t>城乡社区支出</w:t>
      </w:r>
      <w:r>
        <w:rPr>
          <w:rFonts w:ascii="仿宋_GB2312" w:hAnsi="仿宋_GB2312" w:eastAsia="仿宋_GB2312" w:cs="仿宋_GB2312"/>
          <w:color w:val="000000"/>
          <w:kern w:val="0"/>
          <w:sz w:val="32"/>
          <w:szCs w:val="32"/>
          <w:shd w:val="clear" w:color="auto" w:fill="FFFFFF"/>
          <w:lang w:val="zh-CN"/>
        </w:rPr>
        <w:t>625.60</w:t>
      </w:r>
      <w:r>
        <w:rPr>
          <w:rFonts w:hint="eastAsia" w:ascii="仿宋_GB2312" w:hAnsi="仿宋_GB2312" w:eastAsia="仿宋_GB2312" w:cs="仿宋_GB2312"/>
          <w:sz w:val="32"/>
          <w:szCs w:val="32"/>
        </w:rPr>
        <w:t>万元</w:t>
      </w:r>
    </w:p>
    <w:p>
      <w:pPr>
        <w:spacing w:line="576"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4. </w:t>
      </w:r>
      <w:r>
        <w:rPr>
          <w:rFonts w:hint="eastAsia" w:ascii="仿宋_GB2312" w:hAnsi="仿宋_GB2312" w:eastAsia="仿宋_GB2312" w:cs="仿宋_GB2312"/>
          <w:color w:val="000000"/>
          <w:sz w:val="32"/>
          <w:szCs w:val="32"/>
        </w:rPr>
        <w:t>农林水</w:t>
      </w:r>
      <w:r>
        <w:rPr>
          <w:rFonts w:hint="eastAsia" w:ascii="仿宋_GB2312" w:hAnsi="仿宋_GB2312" w:eastAsia="仿宋_GB2312" w:cs="仿宋_GB2312"/>
          <w:sz w:val="32"/>
          <w:szCs w:val="32"/>
        </w:rPr>
        <w:t>支出</w:t>
      </w:r>
      <w:r>
        <w:rPr>
          <w:rFonts w:ascii="仿宋_GB2312" w:hAnsi="仿宋_GB2312" w:eastAsia="仿宋_GB2312" w:cs="仿宋_GB2312"/>
          <w:color w:val="000000"/>
          <w:kern w:val="0"/>
          <w:sz w:val="32"/>
          <w:szCs w:val="32"/>
          <w:shd w:val="clear" w:color="auto" w:fill="FFFFFF"/>
          <w:lang w:val="zh-CN"/>
        </w:rPr>
        <w:t>0.11</w:t>
      </w:r>
      <w:r>
        <w:rPr>
          <w:rFonts w:hint="eastAsia" w:ascii="仿宋_GB2312" w:hAnsi="仿宋_GB2312" w:eastAsia="仿宋_GB2312" w:cs="仿宋_GB2312"/>
          <w:sz w:val="32"/>
          <w:szCs w:val="32"/>
        </w:rPr>
        <w:t>万元</w:t>
      </w:r>
    </w:p>
    <w:p>
      <w:pPr>
        <w:spacing w:line="576" w:lineRule="exact"/>
        <w:ind w:firstLine="640" w:firstLineChars="200"/>
        <w:rPr>
          <w:rFonts w:ascii="仿宋_GB2312" w:hAnsi="仿宋_GB2312" w:eastAsia="仿宋_GB2312"/>
          <w:color w:val="000000"/>
          <w:sz w:val="32"/>
          <w:szCs w:val="32"/>
        </w:rPr>
      </w:pPr>
      <w:r>
        <w:rPr>
          <w:rFonts w:ascii="仿宋_GB2312" w:hAnsi="仿宋_GB2312" w:eastAsia="仿宋_GB2312" w:cs="仿宋_GB2312"/>
          <w:sz w:val="32"/>
          <w:szCs w:val="32"/>
        </w:rPr>
        <w:t xml:space="preserve">5. </w:t>
      </w:r>
      <w:r>
        <w:rPr>
          <w:rFonts w:hint="eastAsia" w:ascii="仿宋_GB2312" w:hAnsi="仿宋_GB2312" w:eastAsia="仿宋_GB2312" w:cs="仿宋_GB2312"/>
          <w:color w:val="000000"/>
          <w:sz w:val="32"/>
          <w:szCs w:val="32"/>
        </w:rPr>
        <w:t>住房保障支出</w:t>
      </w:r>
      <w:r>
        <w:rPr>
          <w:rFonts w:ascii="仿宋_GB2312" w:hAnsi="仿宋_GB2312" w:eastAsia="仿宋_GB2312" w:cs="仿宋_GB2312"/>
          <w:color w:val="000000"/>
          <w:kern w:val="0"/>
          <w:sz w:val="32"/>
          <w:szCs w:val="32"/>
          <w:shd w:val="clear" w:color="auto" w:fill="FFFFFF"/>
          <w:lang w:val="zh-CN"/>
        </w:rPr>
        <w:t>16.57</w:t>
      </w:r>
      <w:r>
        <w:rPr>
          <w:rFonts w:hint="eastAsia" w:ascii="仿宋_GB2312" w:hAnsi="仿宋_GB2312" w:eastAsia="仿宋_GB2312" w:cs="仿宋_GB2312"/>
          <w:color w:val="000000"/>
          <w:sz w:val="32"/>
          <w:szCs w:val="32"/>
        </w:rPr>
        <w:t>万元</w:t>
      </w:r>
    </w:p>
    <w:p>
      <w:pPr>
        <w:widowControl/>
        <w:adjustRightInd w:val="0"/>
        <w:snapToGrid w:val="0"/>
        <w:spacing w:line="576" w:lineRule="exact"/>
        <w:ind w:firstLine="640" w:firstLineChars="200"/>
        <w:jc w:val="left"/>
        <w:rPr>
          <w:rFonts w:ascii="方正楷体简体" w:hAnsi="方正楷体简体" w:eastAsia="方正楷体简体"/>
          <w:color w:val="000000"/>
          <w:kern w:val="0"/>
          <w:sz w:val="32"/>
          <w:szCs w:val="32"/>
          <w:shd w:val="clear" w:color="auto" w:fill="FFFFFF"/>
          <w:lang w:val="zh-CN"/>
        </w:rPr>
      </w:pPr>
      <w:r>
        <w:rPr>
          <w:rFonts w:hint="eastAsia" w:ascii="方正楷体简体" w:hAnsi="方正楷体简体" w:eastAsia="方正楷体简体" w:cs="方正楷体简体"/>
          <w:color w:val="000000"/>
          <w:kern w:val="0"/>
          <w:sz w:val="32"/>
          <w:szCs w:val="32"/>
          <w:shd w:val="clear" w:color="auto" w:fill="FFFFFF"/>
          <w:lang w:val="zh-CN"/>
        </w:rPr>
        <w:t>（三）年末财政拨款结转结余</w:t>
      </w:r>
      <w:r>
        <w:rPr>
          <w:rFonts w:ascii="方正楷体简体" w:hAnsi="方正楷体简体" w:eastAsia="方正楷体简体" w:cs="方正楷体简体"/>
          <w:color w:val="000000"/>
          <w:kern w:val="0"/>
          <w:sz w:val="32"/>
          <w:szCs w:val="32"/>
          <w:shd w:val="clear" w:color="auto" w:fill="FFFFFF"/>
          <w:lang w:val="zh-CN"/>
        </w:rPr>
        <w:t>14.49</w:t>
      </w:r>
      <w:r>
        <w:rPr>
          <w:rFonts w:hint="eastAsia" w:ascii="方正楷体简体" w:hAnsi="方正楷体简体" w:eastAsia="方正楷体简体" w:cs="方正楷体简体"/>
          <w:color w:val="000000"/>
          <w:kern w:val="0"/>
          <w:sz w:val="32"/>
          <w:szCs w:val="32"/>
          <w:shd w:val="clear" w:color="auto" w:fill="FFFFFF"/>
          <w:lang w:val="zh-CN"/>
        </w:rPr>
        <w:t>万元。</w:t>
      </w:r>
    </w:p>
    <w:p>
      <w:pPr>
        <w:spacing w:line="576" w:lineRule="exact"/>
        <w:ind w:firstLine="640" w:firstLineChars="200"/>
        <w:jc w:val="left"/>
        <w:outlineLvl w:val="0"/>
        <w:rPr>
          <w:rFonts w:ascii="方正黑体简体" w:hAnsi="方正黑体简体" w:eastAsia="方正黑体简体"/>
          <w:sz w:val="32"/>
          <w:szCs w:val="32"/>
          <w:lang w:val="zh-CN"/>
        </w:rPr>
      </w:pPr>
      <w:r>
        <w:rPr>
          <w:rFonts w:hint="eastAsia" w:ascii="方正黑体简体" w:hAnsi="方正黑体简体" w:eastAsia="方正黑体简体" w:cs="方正黑体简体"/>
          <w:sz w:val="32"/>
          <w:szCs w:val="32"/>
          <w:lang w:val="zh-CN"/>
        </w:rPr>
        <w:t>三、部门整体预算绩效管理情况</w:t>
      </w:r>
    </w:p>
    <w:p>
      <w:pPr>
        <w:widowControl/>
        <w:adjustRightInd w:val="0"/>
        <w:snapToGrid w:val="0"/>
        <w:spacing w:line="576" w:lineRule="exact"/>
        <w:ind w:firstLine="640" w:firstLineChars="200"/>
        <w:jc w:val="left"/>
        <w:rPr>
          <w:rFonts w:ascii="方正楷体简体" w:hAnsi="方正楷体简体" w:eastAsia="方正楷体简体"/>
          <w:color w:val="000000"/>
          <w:kern w:val="0"/>
          <w:sz w:val="32"/>
          <w:szCs w:val="32"/>
          <w:shd w:val="clear" w:color="auto" w:fill="FFFFFF"/>
          <w:lang w:val="zh-CN"/>
        </w:rPr>
      </w:pPr>
      <w:r>
        <w:rPr>
          <w:rFonts w:hint="eastAsia" w:ascii="方正楷体简体" w:hAnsi="方正楷体简体" w:eastAsia="方正楷体简体" w:cs="方正楷体简体"/>
          <w:color w:val="000000"/>
          <w:kern w:val="0"/>
          <w:sz w:val="32"/>
          <w:szCs w:val="32"/>
          <w:shd w:val="clear" w:color="auto" w:fill="FFFFFF"/>
          <w:lang w:val="zh-CN"/>
        </w:rPr>
        <w:t>（一）部门预算管理</w:t>
      </w:r>
    </w:p>
    <w:p>
      <w:pPr>
        <w:spacing w:line="576" w:lineRule="exact"/>
        <w:ind w:firstLine="640" w:firstLineChars="200"/>
        <w:jc w:val="left"/>
        <w:rPr>
          <w:rFonts w:ascii="仿宋_GB2312" w:hAnsi="仿宋_GB2312" w:eastAsia="仿宋_GB2312"/>
          <w:sz w:val="32"/>
          <w:szCs w:val="32"/>
        </w:rPr>
      </w:pPr>
      <w:r>
        <w:rPr>
          <w:rFonts w:hint="eastAsia" w:ascii="仿宋_GB2312" w:hAnsi="仿宋_GB2312" w:eastAsia="仿宋_GB2312" w:cs="仿宋_GB2312"/>
          <w:sz w:val="32"/>
          <w:szCs w:val="32"/>
        </w:rPr>
        <w:t>我中心对资金进行合理规划、统筹安排，对各项收入全部据实及时入账，各项支出严格按照国家法律以及相关政策规定和标准，本着厉行节约的原则，完善支出手续，规范支出科目，确保各类支出真实、有效，严格执行预算，强化支出管理。</w:t>
      </w:r>
    </w:p>
    <w:p>
      <w:pPr>
        <w:widowControl/>
        <w:adjustRightInd w:val="0"/>
        <w:snapToGrid w:val="0"/>
        <w:spacing w:line="576" w:lineRule="exact"/>
        <w:ind w:firstLine="640" w:firstLineChars="200"/>
        <w:jc w:val="left"/>
        <w:rPr>
          <w:rFonts w:ascii="方正楷体简体" w:hAnsi="方正楷体简体" w:eastAsia="方正楷体简体"/>
          <w:color w:val="000000"/>
          <w:kern w:val="0"/>
          <w:sz w:val="32"/>
          <w:szCs w:val="32"/>
          <w:shd w:val="clear" w:color="auto" w:fill="FFFFFF"/>
          <w:lang w:val="zh-CN"/>
        </w:rPr>
      </w:pPr>
      <w:r>
        <w:rPr>
          <w:rFonts w:hint="eastAsia" w:ascii="方正楷体简体" w:hAnsi="方正楷体简体" w:eastAsia="方正楷体简体" w:cs="方正楷体简体"/>
          <w:color w:val="000000"/>
          <w:kern w:val="0"/>
          <w:sz w:val="32"/>
          <w:szCs w:val="32"/>
          <w:shd w:val="clear" w:color="auto" w:fill="FFFFFF"/>
          <w:lang w:val="zh-CN"/>
        </w:rPr>
        <w:t>（二）结果应用情况</w:t>
      </w:r>
    </w:p>
    <w:p>
      <w:pPr>
        <w:widowControl/>
        <w:adjustRightInd w:val="0"/>
        <w:snapToGrid w:val="0"/>
        <w:spacing w:line="576" w:lineRule="exact"/>
        <w:ind w:firstLine="640" w:firstLineChars="200"/>
        <w:jc w:val="left"/>
        <w:rPr>
          <w:rFonts w:ascii="仿宋_GB2312" w:hAnsi="宋体" w:eastAsia="仿宋_GB2312"/>
          <w:color w:val="000000"/>
          <w:kern w:val="0"/>
          <w:sz w:val="32"/>
          <w:szCs w:val="32"/>
          <w:shd w:val="clear" w:color="auto" w:fill="FFFFFF"/>
          <w:lang w:val="zh-CN"/>
        </w:rPr>
      </w:pPr>
      <w:r>
        <w:rPr>
          <w:rFonts w:hint="eastAsia" w:ascii="仿宋_GB2312" w:eastAsia="仿宋_GB2312" w:cs="仿宋_GB2312"/>
          <w:sz w:val="32"/>
          <w:szCs w:val="32"/>
        </w:rPr>
        <w:t>预算执行支出控制在预算范围，预算管理制度执行总体较为有效。为更好的履行职能职责，对城区广场日常管理等工作提供了资金保障。</w:t>
      </w:r>
    </w:p>
    <w:p>
      <w:pPr>
        <w:widowControl/>
        <w:adjustRightInd w:val="0"/>
        <w:snapToGrid w:val="0"/>
        <w:spacing w:line="576" w:lineRule="exact"/>
        <w:ind w:firstLine="640" w:firstLineChars="200"/>
        <w:jc w:val="left"/>
        <w:rPr>
          <w:rFonts w:ascii="黑体" w:hAnsi="宋体" w:eastAsia="黑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rPr>
        <w:t>四、评价结论及建议</w:t>
      </w:r>
    </w:p>
    <w:p>
      <w:pPr>
        <w:widowControl/>
        <w:adjustRightInd w:val="0"/>
        <w:snapToGrid w:val="0"/>
        <w:spacing w:line="576" w:lineRule="exact"/>
        <w:ind w:firstLine="640" w:firstLineChars="200"/>
        <w:jc w:val="left"/>
        <w:rPr>
          <w:rFonts w:ascii="方正楷体简体" w:hAnsi="方正楷体简体" w:eastAsia="方正楷体简体"/>
          <w:color w:val="000000"/>
          <w:kern w:val="0"/>
          <w:sz w:val="32"/>
          <w:szCs w:val="32"/>
          <w:shd w:val="clear" w:color="auto" w:fill="FFFFFF"/>
          <w:lang w:val="zh-CN"/>
        </w:rPr>
      </w:pPr>
      <w:r>
        <w:rPr>
          <w:rFonts w:hint="eastAsia" w:ascii="方正楷体简体" w:hAnsi="方正楷体简体" w:eastAsia="方正楷体简体" w:cs="方正楷体简体"/>
          <w:color w:val="000000"/>
          <w:kern w:val="0"/>
          <w:sz w:val="32"/>
          <w:szCs w:val="32"/>
          <w:shd w:val="clear" w:color="auto" w:fill="FFFFFF"/>
          <w:lang w:val="zh-CN"/>
        </w:rPr>
        <w:t>（一）评价结论</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在财政资金管理过程中认真执行有关法律法规和财经制度，单位内部财务管理制度健全，预算编制完整，预算执行到位，做到了财务公开、会计核算真实、规范，没有截留、挪用财政资金、擅自扩大或缩小资金使用范围、改变资金用途等现象。</w:t>
      </w:r>
    </w:p>
    <w:p>
      <w:pPr>
        <w:widowControl/>
        <w:adjustRightInd w:val="0"/>
        <w:snapToGrid w:val="0"/>
        <w:spacing w:line="576" w:lineRule="exact"/>
        <w:ind w:firstLine="640" w:firstLineChars="200"/>
        <w:jc w:val="left"/>
        <w:rPr>
          <w:rFonts w:ascii="方正楷体简体" w:hAnsi="方正楷体简体" w:eastAsia="方正楷体简体"/>
          <w:color w:val="000000"/>
          <w:kern w:val="0"/>
          <w:sz w:val="32"/>
          <w:szCs w:val="32"/>
          <w:shd w:val="clear" w:color="auto" w:fill="FFFFFF"/>
          <w:lang w:val="zh-CN"/>
        </w:rPr>
      </w:pPr>
      <w:r>
        <w:rPr>
          <w:rFonts w:hint="eastAsia" w:ascii="方正楷体简体" w:hAnsi="方正楷体简体" w:eastAsia="方正楷体简体" w:cs="方正楷体简体"/>
          <w:color w:val="000000"/>
          <w:kern w:val="0"/>
          <w:sz w:val="32"/>
          <w:szCs w:val="32"/>
          <w:shd w:val="clear" w:color="auto" w:fill="FFFFFF"/>
          <w:lang w:val="zh-CN"/>
        </w:rPr>
        <w:t>（二）存在问题</w:t>
      </w:r>
    </w:p>
    <w:p>
      <w:pPr>
        <w:widowControl/>
        <w:adjustRightInd w:val="0"/>
        <w:snapToGrid w:val="0"/>
        <w:spacing w:line="576" w:lineRule="exact"/>
        <w:ind w:firstLine="640" w:firstLineChars="200"/>
        <w:jc w:val="left"/>
        <w:rPr>
          <w:rFonts w:ascii="仿宋_GB2312" w:hAnsi="宋体" w:eastAsia="仿宋_GB2312"/>
          <w:color w:val="000000"/>
          <w:kern w:val="0"/>
          <w:sz w:val="32"/>
          <w:szCs w:val="32"/>
          <w:shd w:val="clear" w:color="auto" w:fill="FFFFFF"/>
          <w:lang w:val="zh-CN"/>
        </w:rPr>
      </w:pPr>
      <w:r>
        <w:rPr>
          <w:rFonts w:hint="eastAsia" w:ascii="仿宋" w:hAnsi="仿宋" w:eastAsia="仿宋" w:cs="仿宋"/>
          <w:sz w:val="32"/>
          <w:szCs w:val="32"/>
        </w:rPr>
        <w:t>办理财政拨付项目资金程序时间较长，导致项目欠款较多。</w:t>
      </w:r>
    </w:p>
    <w:p>
      <w:pPr>
        <w:widowControl/>
        <w:adjustRightInd w:val="0"/>
        <w:snapToGrid w:val="0"/>
        <w:spacing w:line="576" w:lineRule="exact"/>
        <w:ind w:firstLine="640" w:firstLineChars="200"/>
        <w:jc w:val="left"/>
        <w:rPr>
          <w:rFonts w:ascii="方正楷体简体" w:hAnsi="方正楷体简体" w:eastAsia="方正楷体简体"/>
          <w:color w:val="000000"/>
          <w:kern w:val="0"/>
          <w:sz w:val="32"/>
          <w:szCs w:val="32"/>
          <w:shd w:val="clear" w:color="auto" w:fill="FFFFFF"/>
          <w:lang w:val="zh-CN"/>
        </w:rPr>
      </w:pPr>
      <w:r>
        <w:rPr>
          <w:rFonts w:hint="eastAsia" w:ascii="方正楷体简体" w:hAnsi="方正楷体简体" w:eastAsia="方正楷体简体" w:cs="方正楷体简体"/>
          <w:color w:val="000000"/>
          <w:kern w:val="0"/>
          <w:sz w:val="32"/>
          <w:szCs w:val="32"/>
          <w:shd w:val="clear" w:color="auto" w:fill="FFFFFF"/>
          <w:lang w:val="zh-CN"/>
        </w:rPr>
        <w:t>（三）改进建议</w:t>
      </w:r>
    </w:p>
    <w:p>
      <w:pPr>
        <w:widowControl/>
        <w:adjustRightInd w:val="0"/>
        <w:snapToGrid w:val="0"/>
        <w:spacing w:line="576" w:lineRule="exact"/>
        <w:ind w:firstLine="640" w:firstLineChars="200"/>
        <w:jc w:val="left"/>
        <w:rPr>
          <w:rFonts w:ascii="仿宋_GB2312" w:hAnsi="仿宋_GB2312" w:eastAsia="仿宋_GB2312"/>
          <w:sz w:val="32"/>
          <w:szCs w:val="32"/>
        </w:rPr>
      </w:pPr>
      <w:r>
        <w:rPr>
          <w:rFonts w:hint="eastAsia" w:ascii="仿宋_GB2312" w:hAnsi="仿宋_GB2312" w:eastAsia="仿宋_GB2312" w:cs="仿宋_GB2312"/>
          <w:sz w:val="32"/>
          <w:szCs w:val="32"/>
        </w:rPr>
        <w:t>进一步加强项目绩效管理，严格预算执行力度，合理安排支出，提高项目资金使用绩效。</w:t>
      </w:r>
      <w:bookmarkEnd w:id="57"/>
      <w:bookmarkStart w:id="59" w:name="_Toc15396619"/>
    </w:p>
    <w:p>
      <w:pPr>
        <w:widowControl/>
        <w:adjustRightInd w:val="0"/>
        <w:snapToGrid w:val="0"/>
        <w:spacing w:line="580" w:lineRule="exact"/>
        <w:ind w:firstLine="640" w:firstLineChars="200"/>
        <w:jc w:val="left"/>
        <w:rPr>
          <w:rFonts w:ascii="仿宋_GB2312" w:hAnsi="仿宋_GB2312" w:eastAsia="仿宋_GB2312"/>
          <w:sz w:val="32"/>
          <w:szCs w:val="32"/>
        </w:rPr>
      </w:pPr>
    </w:p>
    <w:p>
      <w:pPr>
        <w:widowControl/>
        <w:adjustRightInd w:val="0"/>
        <w:snapToGrid w:val="0"/>
        <w:spacing w:line="580" w:lineRule="exact"/>
        <w:ind w:firstLine="640" w:firstLineChars="200"/>
        <w:jc w:val="left"/>
        <w:rPr>
          <w:rFonts w:ascii="仿宋_GB2312" w:hAnsi="仿宋_GB2312" w:eastAsia="仿宋_GB2312"/>
          <w:sz w:val="32"/>
          <w:szCs w:val="32"/>
        </w:rPr>
      </w:pPr>
    </w:p>
    <w:p>
      <w:pPr>
        <w:widowControl/>
        <w:adjustRightInd w:val="0"/>
        <w:snapToGrid w:val="0"/>
        <w:spacing w:line="580" w:lineRule="exact"/>
        <w:ind w:firstLine="640" w:firstLineChars="200"/>
        <w:jc w:val="left"/>
        <w:rPr>
          <w:rFonts w:ascii="仿宋_GB2312" w:hAnsi="仿宋_GB2312" w:eastAsia="仿宋_GB2312"/>
          <w:sz w:val="32"/>
          <w:szCs w:val="32"/>
        </w:rPr>
      </w:pPr>
    </w:p>
    <w:p>
      <w:pPr>
        <w:widowControl/>
        <w:adjustRightInd w:val="0"/>
        <w:snapToGrid w:val="0"/>
        <w:spacing w:line="580" w:lineRule="exact"/>
        <w:ind w:firstLine="640" w:firstLineChars="200"/>
        <w:jc w:val="left"/>
        <w:rPr>
          <w:rFonts w:ascii="仿宋_GB2312" w:hAnsi="仿宋_GB2312" w:eastAsia="仿宋_GB2312"/>
          <w:sz w:val="32"/>
          <w:szCs w:val="32"/>
        </w:rPr>
      </w:pPr>
    </w:p>
    <w:p>
      <w:pPr>
        <w:widowControl/>
        <w:adjustRightInd w:val="0"/>
        <w:snapToGrid w:val="0"/>
        <w:spacing w:line="580" w:lineRule="exact"/>
        <w:ind w:firstLine="640" w:firstLineChars="200"/>
        <w:jc w:val="left"/>
        <w:rPr>
          <w:rFonts w:ascii="仿宋_GB2312" w:hAnsi="仿宋_GB2312" w:eastAsia="仿宋_GB2312"/>
          <w:sz w:val="32"/>
          <w:szCs w:val="32"/>
        </w:rPr>
      </w:pPr>
    </w:p>
    <w:p>
      <w:pPr>
        <w:widowControl/>
        <w:adjustRightInd w:val="0"/>
        <w:snapToGrid w:val="0"/>
        <w:spacing w:line="580" w:lineRule="exact"/>
        <w:ind w:firstLine="640" w:firstLineChars="200"/>
        <w:jc w:val="left"/>
        <w:rPr>
          <w:rFonts w:ascii="仿宋_GB2312" w:hAnsi="仿宋_GB2312" w:eastAsia="仿宋_GB2312"/>
          <w:sz w:val="32"/>
          <w:szCs w:val="32"/>
        </w:rPr>
      </w:pPr>
    </w:p>
    <w:p>
      <w:pPr>
        <w:widowControl/>
        <w:adjustRightInd w:val="0"/>
        <w:snapToGrid w:val="0"/>
        <w:spacing w:line="580" w:lineRule="exact"/>
        <w:ind w:firstLine="640" w:firstLineChars="200"/>
        <w:jc w:val="left"/>
        <w:rPr>
          <w:rFonts w:ascii="仿宋_GB2312" w:hAnsi="仿宋_GB2312" w:eastAsia="仿宋_GB2312"/>
          <w:sz w:val="32"/>
          <w:szCs w:val="32"/>
        </w:rPr>
      </w:pPr>
    </w:p>
    <w:p>
      <w:pPr>
        <w:widowControl/>
        <w:adjustRightInd w:val="0"/>
        <w:snapToGrid w:val="0"/>
        <w:spacing w:line="580" w:lineRule="exact"/>
        <w:ind w:firstLine="640" w:firstLineChars="200"/>
        <w:jc w:val="left"/>
        <w:rPr>
          <w:rFonts w:ascii="仿宋_GB2312" w:hAnsi="仿宋_GB2312" w:eastAsia="仿宋_GB2312"/>
          <w:sz w:val="32"/>
          <w:szCs w:val="32"/>
        </w:rPr>
      </w:pPr>
    </w:p>
    <w:p>
      <w:pPr>
        <w:widowControl/>
        <w:adjustRightInd w:val="0"/>
        <w:snapToGrid w:val="0"/>
        <w:spacing w:line="580" w:lineRule="exact"/>
        <w:ind w:firstLine="640" w:firstLineChars="200"/>
        <w:jc w:val="left"/>
        <w:rPr>
          <w:rFonts w:ascii="仿宋_GB2312" w:hAnsi="仿宋_GB2312" w:eastAsia="仿宋_GB2312"/>
          <w:sz w:val="32"/>
          <w:szCs w:val="32"/>
        </w:rPr>
      </w:pPr>
    </w:p>
    <w:p>
      <w:pPr>
        <w:widowControl/>
        <w:adjustRightInd w:val="0"/>
        <w:snapToGrid w:val="0"/>
        <w:spacing w:line="580" w:lineRule="exact"/>
        <w:ind w:firstLine="640" w:firstLineChars="200"/>
        <w:jc w:val="left"/>
        <w:rPr>
          <w:rFonts w:ascii="仿宋_GB2312" w:hAnsi="仿宋_GB2312" w:eastAsia="仿宋_GB2312"/>
          <w:sz w:val="32"/>
          <w:szCs w:val="32"/>
        </w:rPr>
      </w:pPr>
    </w:p>
    <w:p>
      <w:pPr>
        <w:widowControl/>
        <w:adjustRightInd w:val="0"/>
        <w:snapToGrid w:val="0"/>
        <w:spacing w:line="580" w:lineRule="exact"/>
        <w:ind w:firstLine="640" w:firstLineChars="200"/>
        <w:jc w:val="left"/>
        <w:rPr>
          <w:rFonts w:ascii="仿宋_GB2312" w:hAnsi="仿宋_GB2312" w:eastAsia="仿宋_GB2312"/>
          <w:sz w:val="32"/>
          <w:szCs w:val="32"/>
        </w:rPr>
      </w:pPr>
    </w:p>
    <w:p>
      <w:pPr>
        <w:widowControl/>
        <w:adjustRightInd w:val="0"/>
        <w:snapToGrid w:val="0"/>
        <w:spacing w:line="580" w:lineRule="exact"/>
        <w:ind w:firstLine="640" w:firstLineChars="200"/>
        <w:jc w:val="left"/>
        <w:rPr>
          <w:rFonts w:ascii="仿宋_GB2312" w:hAnsi="仿宋_GB2312" w:eastAsia="仿宋_GB2312"/>
          <w:sz w:val="32"/>
          <w:szCs w:val="32"/>
        </w:rPr>
      </w:pPr>
    </w:p>
    <w:p>
      <w:pPr>
        <w:widowControl/>
        <w:adjustRightInd w:val="0"/>
        <w:snapToGrid w:val="0"/>
        <w:spacing w:line="580" w:lineRule="exact"/>
        <w:ind w:firstLine="640" w:firstLineChars="200"/>
        <w:jc w:val="left"/>
        <w:rPr>
          <w:rFonts w:ascii="仿宋_GB2312" w:hAnsi="仿宋_GB2312" w:eastAsia="仿宋_GB2312"/>
          <w:sz w:val="32"/>
          <w:szCs w:val="32"/>
        </w:rPr>
      </w:pPr>
    </w:p>
    <w:p>
      <w:pPr>
        <w:widowControl/>
        <w:adjustRightInd w:val="0"/>
        <w:snapToGrid w:val="0"/>
        <w:spacing w:line="580" w:lineRule="exact"/>
        <w:ind w:firstLine="640" w:firstLineChars="200"/>
        <w:jc w:val="left"/>
        <w:rPr>
          <w:rFonts w:ascii="仿宋_GB2312" w:hAnsi="仿宋_GB2312" w:eastAsia="仿宋_GB2312"/>
          <w:sz w:val="32"/>
          <w:szCs w:val="32"/>
        </w:rPr>
      </w:pPr>
    </w:p>
    <w:p>
      <w:pPr>
        <w:widowControl/>
        <w:adjustRightInd w:val="0"/>
        <w:snapToGrid w:val="0"/>
        <w:spacing w:line="580" w:lineRule="exact"/>
        <w:ind w:firstLine="640" w:firstLineChars="200"/>
        <w:jc w:val="left"/>
        <w:rPr>
          <w:rFonts w:ascii="仿宋_GB2312" w:hAnsi="仿宋_GB2312" w:eastAsia="仿宋_GB2312"/>
          <w:sz w:val="32"/>
          <w:szCs w:val="32"/>
        </w:rPr>
      </w:pPr>
    </w:p>
    <w:p>
      <w:pPr>
        <w:widowControl/>
        <w:adjustRightInd w:val="0"/>
        <w:snapToGrid w:val="0"/>
        <w:spacing w:line="580" w:lineRule="exact"/>
        <w:ind w:firstLine="640" w:firstLineChars="200"/>
        <w:jc w:val="left"/>
        <w:rPr>
          <w:rFonts w:ascii="仿宋_GB2312" w:hAnsi="仿宋_GB2312" w:eastAsia="仿宋_GB2312"/>
          <w:sz w:val="32"/>
          <w:szCs w:val="32"/>
        </w:rPr>
      </w:pPr>
    </w:p>
    <w:p>
      <w:pPr>
        <w:widowControl/>
        <w:adjustRightInd w:val="0"/>
        <w:snapToGrid w:val="0"/>
        <w:spacing w:line="580" w:lineRule="exact"/>
        <w:ind w:firstLine="640" w:firstLineChars="200"/>
        <w:jc w:val="left"/>
        <w:rPr>
          <w:rFonts w:ascii="仿宋_GB2312" w:hAnsi="仿宋_GB2312" w:eastAsia="仿宋_GB2312"/>
          <w:sz w:val="32"/>
          <w:szCs w:val="32"/>
        </w:rPr>
      </w:pPr>
    </w:p>
    <w:p>
      <w:pPr>
        <w:widowControl/>
        <w:adjustRightInd w:val="0"/>
        <w:snapToGrid w:val="0"/>
        <w:spacing w:line="580" w:lineRule="exact"/>
        <w:ind w:firstLine="640" w:firstLineChars="200"/>
        <w:jc w:val="left"/>
        <w:rPr>
          <w:rFonts w:ascii="仿宋_GB2312" w:hAnsi="仿宋_GB2312" w:eastAsia="仿宋_GB2312"/>
          <w:sz w:val="32"/>
          <w:szCs w:val="32"/>
        </w:rPr>
      </w:pPr>
    </w:p>
    <w:p>
      <w:pPr>
        <w:spacing w:line="576" w:lineRule="exact"/>
        <w:jc w:val="center"/>
        <w:rPr>
          <w:rFonts w:ascii="方正小标宋简体" w:hAnsi="方正小标宋简体" w:eastAsia="方正小标宋简体"/>
          <w:sz w:val="44"/>
          <w:szCs w:val="44"/>
        </w:rPr>
      </w:pPr>
      <w:bookmarkStart w:id="60" w:name="_Toc15396618"/>
      <w:r>
        <w:rPr>
          <w:rFonts w:hint="eastAsia" w:ascii="方正小标宋简体" w:hAnsi="方正小标宋简体" w:eastAsia="方正小标宋简体" w:cs="方正小标宋简体"/>
          <w:sz w:val="44"/>
          <w:szCs w:val="44"/>
        </w:rPr>
        <w:t>第五部分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附表</w:t>
      </w:r>
      <w:bookmarkEnd w:id="60"/>
    </w:p>
    <w:p>
      <w:pPr>
        <w:spacing w:line="576" w:lineRule="exact"/>
        <w:rPr>
          <w:rFonts w:ascii="仿宋_GB2312" w:hAnsi="仿宋_GB2312" w:eastAsia="仿宋_GB2312"/>
          <w:sz w:val="32"/>
          <w:szCs w:val="32"/>
        </w:rPr>
      </w:pPr>
    </w:p>
    <w:p>
      <w:pPr>
        <w:spacing w:line="576"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一、收入支出决算总表</w:t>
      </w:r>
      <w:bookmarkEnd w:id="59"/>
      <w:bookmarkStart w:id="61" w:name="_Toc15396620"/>
    </w:p>
    <w:p>
      <w:pPr>
        <w:spacing w:line="576"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二、收入决算表</w:t>
      </w:r>
      <w:bookmarkEnd w:id="61"/>
      <w:bookmarkStart w:id="62" w:name="_Toc15396621"/>
    </w:p>
    <w:p>
      <w:pPr>
        <w:spacing w:line="576"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三、支出决算表</w:t>
      </w:r>
      <w:bookmarkEnd w:id="62"/>
      <w:bookmarkStart w:id="63" w:name="_Toc15396622"/>
    </w:p>
    <w:p>
      <w:pPr>
        <w:spacing w:line="576"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四、财政拨款收入支出决算总表</w:t>
      </w:r>
      <w:bookmarkEnd w:id="63"/>
      <w:bookmarkStart w:id="64" w:name="_Toc15396623"/>
    </w:p>
    <w:p>
      <w:pPr>
        <w:spacing w:line="576"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五、财政拨款支出决算明细表</w:t>
      </w:r>
      <w:bookmarkEnd w:id="64"/>
      <w:bookmarkStart w:id="65" w:name="_Toc15396624"/>
    </w:p>
    <w:p>
      <w:pPr>
        <w:spacing w:line="576"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六、一般公共预算财政拨款支出决算表</w:t>
      </w:r>
      <w:bookmarkEnd w:id="65"/>
      <w:bookmarkStart w:id="66" w:name="_Toc15396625"/>
    </w:p>
    <w:p>
      <w:pPr>
        <w:spacing w:line="576"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七、一般公共预算财政拨款支出决算明细表</w:t>
      </w:r>
      <w:bookmarkEnd w:id="66"/>
      <w:bookmarkStart w:id="67" w:name="_Toc15396626"/>
    </w:p>
    <w:p>
      <w:pPr>
        <w:spacing w:line="576"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八、一般公共预算财政拨款基本支出决算表</w:t>
      </w:r>
      <w:bookmarkEnd w:id="67"/>
      <w:bookmarkStart w:id="68" w:name="_Toc15396627"/>
    </w:p>
    <w:p>
      <w:pPr>
        <w:spacing w:line="576"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九、一般公共预算财政拨款项目支出决算表</w:t>
      </w:r>
      <w:bookmarkEnd w:id="68"/>
      <w:bookmarkStart w:id="69" w:name="_Toc15396628"/>
    </w:p>
    <w:p>
      <w:pPr>
        <w:spacing w:line="576"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十、一般公共预算财政拨款“三公”经费支出决算表</w:t>
      </w:r>
      <w:bookmarkEnd w:id="69"/>
    </w:p>
    <w:p>
      <w:pPr>
        <w:spacing w:line="576" w:lineRule="exact"/>
        <w:ind w:firstLine="640" w:firstLineChars="200"/>
        <w:rPr>
          <w:rFonts w:ascii="仿宋_GB2312" w:hAnsi="仿宋_GB2312" w:eastAsia="仿宋_GB2312"/>
          <w:sz w:val="32"/>
          <w:szCs w:val="32"/>
        </w:rPr>
      </w:pPr>
      <w:bookmarkStart w:id="70" w:name="_Toc15396629"/>
      <w:r>
        <w:rPr>
          <w:rFonts w:hint="eastAsia" w:ascii="仿宋_GB2312" w:hAnsi="仿宋_GB2312" w:eastAsia="仿宋_GB2312" w:cs="仿宋_GB2312"/>
          <w:sz w:val="32"/>
          <w:szCs w:val="32"/>
        </w:rPr>
        <w:t>十一、政府性基金预算财政拨款收入支出决算表</w:t>
      </w:r>
      <w:bookmarkEnd w:id="70"/>
    </w:p>
    <w:p>
      <w:pPr>
        <w:spacing w:line="576" w:lineRule="exact"/>
        <w:ind w:firstLine="640" w:firstLineChars="200"/>
        <w:rPr>
          <w:rFonts w:ascii="仿宋_GB2312" w:hAnsi="仿宋_GB2312" w:eastAsia="仿宋_GB2312"/>
          <w:sz w:val="32"/>
          <w:szCs w:val="32"/>
        </w:rPr>
      </w:pPr>
      <w:bookmarkStart w:id="71" w:name="_Toc15396630"/>
      <w:r>
        <w:rPr>
          <w:rFonts w:hint="eastAsia" w:ascii="仿宋_GB2312" w:hAnsi="仿宋_GB2312" w:eastAsia="仿宋_GB2312" w:cs="仿宋_GB2312"/>
          <w:sz w:val="32"/>
          <w:szCs w:val="32"/>
        </w:rPr>
        <w:t>十二、政府性基金预算财政拨款“三公”经费支出决算表</w:t>
      </w:r>
      <w:bookmarkEnd w:id="71"/>
    </w:p>
    <w:p>
      <w:pPr>
        <w:spacing w:line="576"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十三、国有资本经营预算财政拨款收入支出决算表</w:t>
      </w:r>
    </w:p>
    <w:p>
      <w:pPr>
        <w:spacing w:line="576" w:lineRule="exact"/>
        <w:ind w:firstLine="640" w:firstLineChars="200"/>
        <w:rPr>
          <w:rFonts w:ascii="仿宋_GB2312" w:hAnsi="仿宋_GB2312" w:eastAsia="仿宋_GB2312"/>
          <w:sz w:val="32"/>
          <w:szCs w:val="32"/>
        </w:rPr>
      </w:pPr>
      <w:bookmarkStart w:id="72" w:name="_Toc15396631"/>
      <w:r>
        <w:rPr>
          <w:rFonts w:hint="eastAsia" w:ascii="仿宋_GB2312" w:hAnsi="仿宋_GB2312" w:eastAsia="仿宋_GB2312" w:cs="仿宋_GB2312"/>
          <w:sz w:val="32"/>
          <w:szCs w:val="32"/>
        </w:rPr>
        <w:t>十四、国有资本经营预算财政拨款支出决算表</w:t>
      </w:r>
      <w:bookmarkEnd w:id="72"/>
    </w:p>
    <w:sectPr>
      <w:footerReference r:id="rId10" w:type="default"/>
      <w:pgSz w:w="11906" w:h="16838"/>
      <w:pgMar w:top="1701" w:right="1474" w:bottom="1417" w:left="1587" w:header="851" w:footer="992" w:gutter="0"/>
      <w:pgNumType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jc w:val="center"/>
      <w:rPr>
        <w:rFonts w:cs="Times New Roman"/>
      </w:rPr>
    </w:pPr>
    <w:r>
      <w:rPr>
        <w:rFonts w:ascii="Calibri" w:hAnsi="Calibri" w:eastAsia="宋体" w:cs="Calibri"/>
        <w:kern w:val="0"/>
        <w:sz w:val="18"/>
        <w:szCs w:val="18"/>
        <w:lang w:val="en-US" w:eastAsia="zh-CN" w:bidi="ar-SA"/>
      </w:rPr>
      <w:pict>
        <v:shape id="Quad Arrow 3073" o:spid="_x0000_s1025" type="#_x0000_t202" style="position:absolute;left:0;margin-top:0pt;height:26.7pt;width:108.05pt;mso-position-horizontal:outside;mso-position-horizontal-relative:margin;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pStyle w:val="8"/>
                  <w:ind w:firstLine="280" w:firstLineChars="10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  </w:t>
                </w:r>
              </w:p>
            </w:txbxContent>
          </v:textbox>
        </v:shape>
      </w:pict>
    </w:r>
  </w:p>
  <w:p>
    <w:pPr>
      <w:pStyle w:val="8"/>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jc w:val="center"/>
      <w:rPr>
        <w:rFonts w:cs="Times New Roman"/>
      </w:rPr>
    </w:pPr>
  </w:p>
  <w:p>
    <w:pPr>
      <w:pStyle w:val="8"/>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jc w:val="center"/>
      <w:rPr>
        <w:rFonts w:cs="Times New Roman"/>
      </w:rPr>
    </w:pPr>
  </w:p>
  <w:p>
    <w:pPr>
      <w:pStyle w:val="8"/>
      <w:rPr>
        <w:rFonts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jc w:val="center"/>
      <w:rPr>
        <w:rFonts w:cs="Times New Roman"/>
      </w:rPr>
    </w:pPr>
    <w:r>
      <w:rPr>
        <w:rFonts w:ascii="Calibri" w:hAnsi="Calibri" w:eastAsia="宋体" w:cs="Calibri"/>
        <w:kern w:val="0"/>
        <w:sz w:val="18"/>
        <w:szCs w:val="18"/>
        <w:lang w:val="en-US" w:eastAsia="zh-CN" w:bidi="ar-SA"/>
      </w:rPr>
      <w:pict>
        <v:shape id="Quad Arrow 3074" o:spid="_x0000_s1026" type="#_x0000_t202" style="position:absolute;left:0;margin-top:0pt;height:26.7pt;width:108.05pt;mso-position-horizontal:outside;mso-position-horizontal-relative:margin;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pStyle w:val="8"/>
                  <w:ind w:firstLine="280" w:firstLineChars="10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16</w:t>
                </w:r>
                <w:r>
                  <w:rPr>
                    <w:rFonts w:ascii="Times New Roman" w:hAnsi="Times New Roman" w:cs="Times New Roman"/>
                    <w:sz w:val="28"/>
                    <w:szCs w:val="28"/>
                  </w:rPr>
                  <w:fldChar w:fldCharType="end"/>
                </w:r>
                <w:r>
                  <w:rPr>
                    <w:rFonts w:ascii="Times New Roman" w:hAnsi="Times New Roman" w:cs="Times New Roman"/>
                    <w:sz w:val="28"/>
                    <w:szCs w:val="28"/>
                  </w:rPr>
                  <w:t xml:space="preserve">  —  </w:t>
                </w:r>
              </w:p>
            </w:txbxContent>
          </v:textbox>
        </v:shape>
      </w:pict>
    </w:r>
  </w:p>
  <w:p>
    <w:pPr>
      <w:pStyle w:val="8"/>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Bdr>
        <w:bottom w:val="none" w:color="auto" w:sz="0" w:space="0"/>
      </w:pBdr>
      <w:tabs>
        <w:tab w:val="left" w:pos="4200"/>
        <w:tab w:val="left" w:pos="4620"/>
        <w:tab w:val="left" w:pos="5040"/>
        <w:tab w:val="left" w:pos="5460"/>
        <w:tab w:val="left" w:pos="5880"/>
        <w:tab w:val="left" w:pos="6300"/>
        <w:tab w:val="clear" w:pos="8306"/>
      </w:tabs>
      <w:jc w:val="left"/>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YjU1OGM3MzU2OWMzNmFlYTEyNzE5MjEwMmUxNGZlZDEifQ=="/>
  </w:docVars>
  <w:rsids>
    <w:rsidRoot w:val="00F1361C"/>
    <w:rsid w:val="000222C6"/>
    <w:rsid w:val="0002549F"/>
    <w:rsid w:val="00036C6E"/>
    <w:rsid w:val="00041DAF"/>
    <w:rsid w:val="000468DB"/>
    <w:rsid w:val="00050F6B"/>
    <w:rsid w:val="00052C81"/>
    <w:rsid w:val="0006487A"/>
    <w:rsid w:val="00065F8F"/>
    <w:rsid w:val="00066DBD"/>
    <w:rsid w:val="00070144"/>
    <w:rsid w:val="00070A43"/>
    <w:rsid w:val="00074270"/>
    <w:rsid w:val="000768F2"/>
    <w:rsid w:val="0008636F"/>
    <w:rsid w:val="0009180A"/>
    <w:rsid w:val="0009184B"/>
    <w:rsid w:val="0009317E"/>
    <w:rsid w:val="00094236"/>
    <w:rsid w:val="0009593C"/>
    <w:rsid w:val="00097322"/>
    <w:rsid w:val="000A6A92"/>
    <w:rsid w:val="000B047F"/>
    <w:rsid w:val="000B3987"/>
    <w:rsid w:val="000B5923"/>
    <w:rsid w:val="000B5A48"/>
    <w:rsid w:val="000B6DEB"/>
    <w:rsid w:val="000B6FF3"/>
    <w:rsid w:val="000C0D1C"/>
    <w:rsid w:val="000C1CB6"/>
    <w:rsid w:val="000C3467"/>
    <w:rsid w:val="000C3CA6"/>
    <w:rsid w:val="000C5031"/>
    <w:rsid w:val="000C68C6"/>
    <w:rsid w:val="000C7628"/>
    <w:rsid w:val="000D1267"/>
    <w:rsid w:val="000D1D50"/>
    <w:rsid w:val="000D5782"/>
    <w:rsid w:val="000E1F25"/>
    <w:rsid w:val="000E6613"/>
    <w:rsid w:val="000E6974"/>
    <w:rsid w:val="000E7119"/>
    <w:rsid w:val="000F0E93"/>
    <w:rsid w:val="00105BAF"/>
    <w:rsid w:val="00114E9B"/>
    <w:rsid w:val="00115301"/>
    <w:rsid w:val="001207FF"/>
    <w:rsid w:val="00126206"/>
    <w:rsid w:val="001319E1"/>
    <w:rsid w:val="0014219A"/>
    <w:rsid w:val="00142216"/>
    <w:rsid w:val="00144D6A"/>
    <w:rsid w:val="0014729F"/>
    <w:rsid w:val="00157BAB"/>
    <w:rsid w:val="00160444"/>
    <w:rsid w:val="00164C57"/>
    <w:rsid w:val="001654D1"/>
    <w:rsid w:val="00174518"/>
    <w:rsid w:val="001773EC"/>
    <w:rsid w:val="0018106D"/>
    <w:rsid w:val="0018438F"/>
    <w:rsid w:val="001877A7"/>
    <w:rsid w:val="00190668"/>
    <w:rsid w:val="00191536"/>
    <w:rsid w:val="00196687"/>
    <w:rsid w:val="001A187B"/>
    <w:rsid w:val="001A31FC"/>
    <w:rsid w:val="001A526D"/>
    <w:rsid w:val="001A5706"/>
    <w:rsid w:val="001C0962"/>
    <w:rsid w:val="001D7531"/>
    <w:rsid w:val="001E1592"/>
    <w:rsid w:val="001E50AF"/>
    <w:rsid w:val="001E737D"/>
    <w:rsid w:val="001F0592"/>
    <w:rsid w:val="001F2765"/>
    <w:rsid w:val="001F7506"/>
    <w:rsid w:val="002006CD"/>
    <w:rsid w:val="00202B36"/>
    <w:rsid w:val="00204B7A"/>
    <w:rsid w:val="00204CDE"/>
    <w:rsid w:val="0021101A"/>
    <w:rsid w:val="002139EE"/>
    <w:rsid w:val="002176AC"/>
    <w:rsid w:val="00220536"/>
    <w:rsid w:val="002355C3"/>
    <w:rsid w:val="00235629"/>
    <w:rsid w:val="002407C4"/>
    <w:rsid w:val="002413C1"/>
    <w:rsid w:val="002533A4"/>
    <w:rsid w:val="00256262"/>
    <w:rsid w:val="00260C38"/>
    <w:rsid w:val="002616C0"/>
    <w:rsid w:val="00265372"/>
    <w:rsid w:val="002662AA"/>
    <w:rsid w:val="00267F84"/>
    <w:rsid w:val="00270011"/>
    <w:rsid w:val="0027682B"/>
    <w:rsid w:val="00280496"/>
    <w:rsid w:val="00284D79"/>
    <w:rsid w:val="00294DC9"/>
    <w:rsid w:val="00295495"/>
    <w:rsid w:val="002A050C"/>
    <w:rsid w:val="002A31DE"/>
    <w:rsid w:val="002B2613"/>
    <w:rsid w:val="002B6F9C"/>
    <w:rsid w:val="002C26B2"/>
    <w:rsid w:val="002D339D"/>
    <w:rsid w:val="002D6D05"/>
    <w:rsid w:val="002E3A9E"/>
    <w:rsid w:val="002F1818"/>
    <w:rsid w:val="002F567B"/>
    <w:rsid w:val="003028CA"/>
    <w:rsid w:val="00303567"/>
    <w:rsid w:val="00305647"/>
    <w:rsid w:val="003109C9"/>
    <w:rsid w:val="00317093"/>
    <w:rsid w:val="003216A9"/>
    <w:rsid w:val="003219E0"/>
    <w:rsid w:val="00331671"/>
    <w:rsid w:val="00332A6A"/>
    <w:rsid w:val="003358B4"/>
    <w:rsid w:val="00335A74"/>
    <w:rsid w:val="003551BE"/>
    <w:rsid w:val="00355772"/>
    <w:rsid w:val="00357888"/>
    <w:rsid w:val="0036561B"/>
    <w:rsid w:val="00365A12"/>
    <w:rsid w:val="0037013F"/>
    <w:rsid w:val="00375E9E"/>
    <w:rsid w:val="00380C92"/>
    <w:rsid w:val="00383A2F"/>
    <w:rsid w:val="00392069"/>
    <w:rsid w:val="003A484F"/>
    <w:rsid w:val="003A4883"/>
    <w:rsid w:val="003B0BE0"/>
    <w:rsid w:val="003B0C1B"/>
    <w:rsid w:val="003B1A88"/>
    <w:rsid w:val="003B688C"/>
    <w:rsid w:val="003B758D"/>
    <w:rsid w:val="003B7801"/>
    <w:rsid w:val="003C0291"/>
    <w:rsid w:val="003C39AE"/>
    <w:rsid w:val="003C4699"/>
    <w:rsid w:val="003C7B60"/>
    <w:rsid w:val="003D0C0F"/>
    <w:rsid w:val="003D1EBB"/>
    <w:rsid w:val="003D1FB2"/>
    <w:rsid w:val="003D5029"/>
    <w:rsid w:val="003D66DA"/>
    <w:rsid w:val="003E1310"/>
    <w:rsid w:val="003E6F55"/>
    <w:rsid w:val="003F5618"/>
    <w:rsid w:val="00400025"/>
    <w:rsid w:val="00406254"/>
    <w:rsid w:val="00414CAE"/>
    <w:rsid w:val="004223DE"/>
    <w:rsid w:val="004241FE"/>
    <w:rsid w:val="004276B3"/>
    <w:rsid w:val="00434489"/>
    <w:rsid w:val="00437085"/>
    <w:rsid w:val="00443880"/>
    <w:rsid w:val="0044604B"/>
    <w:rsid w:val="004464F4"/>
    <w:rsid w:val="00450186"/>
    <w:rsid w:val="004502DC"/>
    <w:rsid w:val="004512D9"/>
    <w:rsid w:val="00453FBE"/>
    <w:rsid w:val="00457569"/>
    <w:rsid w:val="00457840"/>
    <w:rsid w:val="004612ED"/>
    <w:rsid w:val="00471401"/>
    <w:rsid w:val="00473A72"/>
    <w:rsid w:val="00473F31"/>
    <w:rsid w:val="00474406"/>
    <w:rsid w:val="0048263A"/>
    <w:rsid w:val="00487E5D"/>
    <w:rsid w:val="0049402A"/>
    <w:rsid w:val="004A02DD"/>
    <w:rsid w:val="004A3D10"/>
    <w:rsid w:val="004A711F"/>
    <w:rsid w:val="004A7504"/>
    <w:rsid w:val="004B199D"/>
    <w:rsid w:val="004B4690"/>
    <w:rsid w:val="004C2026"/>
    <w:rsid w:val="004C6DE1"/>
    <w:rsid w:val="004D5C5F"/>
    <w:rsid w:val="004E0A2D"/>
    <w:rsid w:val="004E1BEE"/>
    <w:rsid w:val="004E206B"/>
    <w:rsid w:val="004E568D"/>
    <w:rsid w:val="004E6DF7"/>
    <w:rsid w:val="004E7BF0"/>
    <w:rsid w:val="004F0FBD"/>
    <w:rsid w:val="004F3E09"/>
    <w:rsid w:val="0050462B"/>
    <w:rsid w:val="00505A47"/>
    <w:rsid w:val="00511549"/>
    <w:rsid w:val="0051181A"/>
    <w:rsid w:val="00512FDA"/>
    <w:rsid w:val="00514167"/>
    <w:rsid w:val="00520899"/>
    <w:rsid w:val="00520DA0"/>
    <w:rsid w:val="005269D7"/>
    <w:rsid w:val="00527DCF"/>
    <w:rsid w:val="0053412F"/>
    <w:rsid w:val="0053774A"/>
    <w:rsid w:val="0054784D"/>
    <w:rsid w:val="0055279D"/>
    <w:rsid w:val="005535E2"/>
    <w:rsid w:val="00557185"/>
    <w:rsid w:val="00563529"/>
    <w:rsid w:val="005664BB"/>
    <w:rsid w:val="00566FFA"/>
    <w:rsid w:val="00574587"/>
    <w:rsid w:val="0057481D"/>
    <w:rsid w:val="00575F0C"/>
    <w:rsid w:val="00580134"/>
    <w:rsid w:val="005846A8"/>
    <w:rsid w:val="0058486E"/>
    <w:rsid w:val="00585B33"/>
    <w:rsid w:val="0059014D"/>
    <w:rsid w:val="005A0772"/>
    <w:rsid w:val="005A59A0"/>
    <w:rsid w:val="005B5C64"/>
    <w:rsid w:val="005C4C7C"/>
    <w:rsid w:val="005C5337"/>
    <w:rsid w:val="005C6BD0"/>
    <w:rsid w:val="005D1C8B"/>
    <w:rsid w:val="005D39EF"/>
    <w:rsid w:val="005D468D"/>
    <w:rsid w:val="005D5CED"/>
    <w:rsid w:val="005D6B25"/>
    <w:rsid w:val="005E445B"/>
    <w:rsid w:val="005F1A4C"/>
    <w:rsid w:val="005F2F24"/>
    <w:rsid w:val="00605688"/>
    <w:rsid w:val="006070AF"/>
    <w:rsid w:val="00607E6C"/>
    <w:rsid w:val="006101B1"/>
    <w:rsid w:val="00614E44"/>
    <w:rsid w:val="0062270A"/>
    <w:rsid w:val="00622830"/>
    <w:rsid w:val="00623DA0"/>
    <w:rsid w:val="00625BB4"/>
    <w:rsid w:val="00630AEF"/>
    <w:rsid w:val="006325F8"/>
    <w:rsid w:val="00633463"/>
    <w:rsid w:val="006340CC"/>
    <w:rsid w:val="00634C9A"/>
    <w:rsid w:val="006426EE"/>
    <w:rsid w:val="006440E4"/>
    <w:rsid w:val="00644A0E"/>
    <w:rsid w:val="00651161"/>
    <w:rsid w:val="00655A00"/>
    <w:rsid w:val="00657F0F"/>
    <w:rsid w:val="0066343B"/>
    <w:rsid w:val="00664777"/>
    <w:rsid w:val="006748A4"/>
    <w:rsid w:val="00681A31"/>
    <w:rsid w:val="00683E73"/>
    <w:rsid w:val="00685641"/>
    <w:rsid w:val="00693A64"/>
    <w:rsid w:val="00694C9F"/>
    <w:rsid w:val="006A3141"/>
    <w:rsid w:val="006A5E34"/>
    <w:rsid w:val="006B2422"/>
    <w:rsid w:val="006B2B9A"/>
    <w:rsid w:val="006C1937"/>
    <w:rsid w:val="006C5EBE"/>
    <w:rsid w:val="006D2C79"/>
    <w:rsid w:val="006E2DCA"/>
    <w:rsid w:val="006F020C"/>
    <w:rsid w:val="006F21C7"/>
    <w:rsid w:val="006F3C7D"/>
    <w:rsid w:val="006F4238"/>
    <w:rsid w:val="006F5ABA"/>
    <w:rsid w:val="006F6425"/>
    <w:rsid w:val="007127B7"/>
    <w:rsid w:val="0071594B"/>
    <w:rsid w:val="00716DBD"/>
    <w:rsid w:val="0071798E"/>
    <w:rsid w:val="00720C41"/>
    <w:rsid w:val="0072226B"/>
    <w:rsid w:val="0072774C"/>
    <w:rsid w:val="00730820"/>
    <w:rsid w:val="0074096A"/>
    <w:rsid w:val="007416B6"/>
    <w:rsid w:val="00742018"/>
    <w:rsid w:val="00746F48"/>
    <w:rsid w:val="0075404D"/>
    <w:rsid w:val="00755181"/>
    <w:rsid w:val="007601C4"/>
    <w:rsid w:val="0076182A"/>
    <w:rsid w:val="00767B7E"/>
    <w:rsid w:val="00771ABA"/>
    <w:rsid w:val="00773AEB"/>
    <w:rsid w:val="007752FA"/>
    <w:rsid w:val="007770C3"/>
    <w:rsid w:val="00784D24"/>
    <w:rsid w:val="00785FBA"/>
    <w:rsid w:val="00786E4A"/>
    <w:rsid w:val="007875EB"/>
    <w:rsid w:val="00792B3D"/>
    <w:rsid w:val="0079426B"/>
    <w:rsid w:val="007A056C"/>
    <w:rsid w:val="007B57F1"/>
    <w:rsid w:val="007D1682"/>
    <w:rsid w:val="007D312A"/>
    <w:rsid w:val="007D3F19"/>
    <w:rsid w:val="007E1D0C"/>
    <w:rsid w:val="007E23B0"/>
    <w:rsid w:val="007E23E5"/>
    <w:rsid w:val="007E5EDE"/>
    <w:rsid w:val="007F1991"/>
    <w:rsid w:val="007F1DA0"/>
    <w:rsid w:val="007F2C2F"/>
    <w:rsid w:val="007F35CA"/>
    <w:rsid w:val="007F55FC"/>
    <w:rsid w:val="007F5665"/>
    <w:rsid w:val="00800112"/>
    <w:rsid w:val="008001A5"/>
    <w:rsid w:val="00805CC2"/>
    <w:rsid w:val="008102FC"/>
    <w:rsid w:val="00813348"/>
    <w:rsid w:val="008253BB"/>
    <w:rsid w:val="00827294"/>
    <w:rsid w:val="00831BFE"/>
    <w:rsid w:val="008360AB"/>
    <w:rsid w:val="0083706E"/>
    <w:rsid w:val="008408F6"/>
    <w:rsid w:val="008423A5"/>
    <w:rsid w:val="00847541"/>
    <w:rsid w:val="00850625"/>
    <w:rsid w:val="008530F7"/>
    <w:rsid w:val="00853718"/>
    <w:rsid w:val="00855221"/>
    <w:rsid w:val="00855A9A"/>
    <w:rsid w:val="00860645"/>
    <w:rsid w:val="00871F71"/>
    <w:rsid w:val="00872FD8"/>
    <w:rsid w:val="008846CC"/>
    <w:rsid w:val="00885AF4"/>
    <w:rsid w:val="00890008"/>
    <w:rsid w:val="008939CD"/>
    <w:rsid w:val="008A0751"/>
    <w:rsid w:val="008A746B"/>
    <w:rsid w:val="008B768C"/>
    <w:rsid w:val="008C4DB1"/>
    <w:rsid w:val="008C4EAF"/>
    <w:rsid w:val="008C5176"/>
    <w:rsid w:val="008C7FD0"/>
    <w:rsid w:val="008D0E86"/>
    <w:rsid w:val="008D68EC"/>
    <w:rsid w:val="008E0AAB"/>
    <w:rsid w:val="008E1DE7"/>
    <w:rsid w:val="008E707C"/>
    <w:rsid w:val="008F281A"/>
    <w:rsid w:val="008F29E7"/>
    <w:rsid w:val="008F6765"/>
    <w:rsid w:val="00900B08"/>
    <w:rsid w:val="00902155"/>
    <w:rsid w:val="00902FA3"/>
    <w:rsid w:val="00904C45"/>
    <w:rsid w:val="00907138"/>
    <w:rsid w:val="009171CB"/>
    <w:rsid w:val="00923564"/>
    <w:rsid w:val="0092392E"/>
    <w:rsid w:val="0092432A"/>
    <w:rsid w:val="009315F9"/>
    <w:rsid w:val="00933499"/>
    <w:rsid w:val="009334D8"/>
    <w:rsid w:val="00935849"/>
    <w:rsid w:val="00935C98"/>
    <w:rsid w:val="0093691E"/>
    <w:rsid w:val="009458AC"/>
    <w:rsid w:val="00946945"/>
    <w:rsid w:val="00947F70"/>
    <w:rsid w:val="00951248"/>
    <w:rsid w:val="0095152F"/>
    <w:rsid w:val="009529E1"/>
    <w:rsid w:val="0095471B"/>
    <w:rsid w:val="00954C49"/>
    <w:rsid w:val="00955E37"/>
    <w:rsid w:val="00970571"/>
    <w:rsid w:val="00970612"/>
    <w:rsid w:val="0097099F"/>
    <w:rsid w:val="00971997"/>
    <w:rsid w:val="00971FFC"/>
    <w:rsid w:val="00974AD5"/>
    <w:rsid w:val="00983647"/>
    <w:rsid w:val="00984C06"/>
    <w:rsid w:val="0098660A"/>
    <w:rsid w:val="009931C3"/>
    <w:rsid w:val="009B2C43"/>
    <w:rsid w:val="009B4EAE"/>
    <w:rsid w:val="009B6E66"/>
    <w:rsid w:val="009B7573"/>
    <w:rsid w:val="009C0BEF"/>
    <w:rsid w:val="009C22F4"/>
    <w:rsid w:val="009C2A4B"/>
    <w:rsid w:val="009C2E98"/>
    <w:rsid w:val="009D03C5"/>
    <w:rsid w:val="009D0BA1"/>
    <w:rsid w:val="009D3447"/>
    <w:rsid w:val="009D4711"/>
    <w:rsid w:val="009E2DD5"/>
    <w:rsid w:val="009F1185"/>
    <w:rsid w:val="009F18CD"/>
    <w:rsid w:val="009F2A13"/>
    <w:rsid w:val="009F2C94"/>
    <w:rsid w:val="009F6D4C"/>
    <w:rsid w:val="009F7527"/>
    <w:rsid w:val="00A04EB0"/>
    <w:rsid w:val="00A0658A"/>
    <w:rsid w:val="00A13CC1"/>
    <w:rsid w:val="00A16847"/>
    <w:rsid w:val="00A1684B"/>
    <w:rsid w:val="00A16C56"/>
    <w:rsid w:val="00A17589"/>
    <w:rsid w:val="00A237D8"/>
    <w:rsid w:val="00A247E9"/>
    <w:rsid w:val="00A263A5"/>
    <w:rsid w:val="00A268C4"/>
    <w:rsid w:val="00A27A90"/>
    <w:rsid w:val="00A307CD"/>
    <w:rsid w:val="00A307E2"/>
    <w:rsid w:val="00A316C6"/>
    <w:rsid w:val="00A32AB2"/>
    <w:rsid w:val="00A331C8"/>
    <w:rsid w:val="00A40A00"/>
    <w:rsid w:val="00A4142F"/>
    <w:rsid w:val="00A422EB"/>
    <w:rsid w:val="00A45BB7"/>
    <w:rsid w:val="00A56DF2"/>
    <w:rsid w:val="00A56E6E"/>
    <w:rsid w:val="00A61D8A"/>
    <w:rsid w:val="00A67AB5"/>
    <w:rsid w:val="00A733B2"/>
    <w:rsid w:val="00A73BBB"/>
    <w:rsid w:val="00A741C2"/>
    <w:rsid w:val="00A800ED"/>
    <w:rsid w:val="00A870F5"/>
    <w:rsid w:val="00A91760"/>
    <w:rsid w:val="00A93B00"/>
    <w:rsid w:val="00A93C21"/>
    <w:rsid w:val="00A9419C"/>
    <w:rsid w:val="00AA7681"/>
    <w:rsid w:val="00AB64C9"/>
    <w:rsid w:val="00AB660B"/>
    <w:rsid w:val="00AB6F55"/>
    <w:rsid w:val="00AC00B5"/>
    <w:rsid w:val="00AC106A"/>
    <w:rsid w:val="00AC3C6A"/>
    <w:rsid w:val="00AC44DD"/>
    <w:rsid w:val="00AD5620"/>
    <w:rsid w:val="00AD656B"/>
    <w:rsid w:val="00AD7C1B"/>
    <w:rsid w:val="00AE16BA"/>
    <w:rsid w:val="00AE1EBE"/>
    <w:rsid w:val="00AE7FB9"/>
    <w:rsid w:val="00AF3E53"/>
    <w:rsid w:val="00B03C9D"/>
    <w:rsid w:val="00B060AE"/>
    <w:rsid w:val="00B076DE"/>
    <w:rsid w:val="00B10517"/>
    <w:rsid w:val="00B14E76"/>
    <w:rsid w:val="00B161B8"/>
    <w:rsid w:val="00B2048C"/>
    <w:rsid w:val="00B23630"/>
    <w:rsid w:val="00B310B9"/>
    <w:rsid w:val="00B32FE4"/>
    <w:rsid w:val="00B353AD"/>
    <w:rsid w:val="00B35F3F"/>
    <w:rsid w:val="00B36CBB"/>
    <w:rsid w:val="00B37363"/>
    <w:rsid w:val="00B41543"/>
    <w:rsid w:val="00B425E0"/>
    <w:rsid w:val="00B440AA"/>
    <w:rsid w:val="00B44B70"/>
    <w:rsid w:val="00B51DEB"/>
    <w:rsid w:val="00B53C56"/>
    <w:rsid w:val="00B57DAF"/>
    <w:rsid w:val="00B62E49"/>
    <w:rsid w:val="00B63B04"/>
    <w:rsid w:val="00B77757"/>
    <w:rsid w:val="00B77B7F"/>
    <w:rsid w:val="00B77EA6"/>
    <w:rsid w:val="00B81598"/>
    <w:rsid w:val="00B841F1"/>
    <w:rsid w:val="00B85A33"/>
    <w:rsid w:val="00B85A58"/>
    <w:rsid w:val="00B90E4E"/>
    <w:rsid w:val="00B922C2"/>
    <w:rsid w:val="00B944D6"/>
    <w:rsid w:val="00B965DC"/>
    <w:rsid w:val="00BA5C5F"/>
    <w:rsid w:val="00BB32AC"/>
    <w:rsid w:val="00BB4DF0"/>
    <w:rsid w:val="00BB72F4"/>
    <w:rsid w:val="00BC289F"/>
    <w:rsid w:val="00BC2D50"/>
    <w:rsid w:val="00BC5361"/>
    <w:rsid w:val="00BC5460"/>
    <w:rsid w:val="00BC6267"/>
    <w:rsid w:val="00BC6B50"/>
    <w:rsid w:val="00BD0E25"/>
    <w:rsid w:val="00BD1612"/>
    <w:rsid w:val="00BD20C7"/>
    <w:rsid w:val="00BD2BBB"/>
    <w:rsid w:val="00BD58E1"/>
    <w:rsid w:val="00BD5FA1"/>
    <w:rsid w:val="00BD6679"/>
    <w:rsid w:val="00BE44A0"/>
    <w:rsid w:val="00BE54AA"/>
    <w:rsid w:val="00BF172F"/>
    <w:rsid w:val="00BF5BD6"/>
    <w:rsid w:val="00C00EFF"/>
    <w:rsid w:val="00C0172D"/>
    <w:rsid w:val="00C019EF"/>
    <w:rsid w:val="00C03E31"/>
    <w:rsid w:val="00C07F69"/>
    <w:rsid w:val="00C123F9"/>
    <w:rsid w:val="00C25656"/>
    <w:rsid w:val="00C33E72"/>
    <w:rsid w:val="00C354B2"/>
    <w:rsid w:val="00C35554"/>
    <w:rsid w:val="00C3659A"/>
    <w:rsid w:val="00C375D8"/>
    <w:rsid w:val="00C40F44"/>
    <w:rsid w:val="00C42709"/>
    <w:rsid w:val="00C533CC"/>
    <w:rsid w:val="00C5751C"/>
    <w:rsid w:val="00C60B25"/>
    <w:rsid w:val="00C61BFC"/>
    <w:rsid w:val="00C62B85"/>
    <w:rsid w:val="00C63702"/>
    <w:rsid w:val="00C65438"/>
    <w:rsid w:val="00C8598A"/>
    <w:rsid w:val="00C8626B"/>
    <w:rsid w:val="00C87FD8"/>
    <w:rsid w:val="00C911C7"/>
    <w:rsid w:val="00C91381"/>
    <w:rsid w:val="00C91CBB"/>
    <w:rsid w:val="00C93A47"/>
    <w:rsid w:val="00CA1E05"/>
    <w:rsid w:val="00CA59C7"/>
    <w:rsid w:val="00CA604D"/>
    <w:rsid w:val="00CB29AD"/>
    <w:rsid w:val="00CB4E70"/>
    <w:rsid w:val="00CC09B6"/>
    <w:rsid w:val="00CC2B47"/>
    <w:rsid w:val="00CC666F"/>
    <w:rsid w:val="00CC7196"/>
    <w:rsid w:val="00CD1E3F"/>
    <w:rsid w:val="00CE3BD5"/>
    <w:rsid w:val="00CE44F6"/>
    <w:rsid w:val="00CE49DA"/>
    <w:rsid w:val="00CE4A01"/>
    <w:rsid w:val="00CE5756"/>
    <w:rsid w:val="00CE7B61"/>
    <w:rsid w:val="00CF5F98"/>
    <w:rsid w:val="00CF7D4C"/>
    <w:rsid w:val="00D00095"/>
    <w:rsid w:val="00D04300"/>
    <w:rsid w:val="00D114F0"/>
    <w:rsid w:val="00D125C7"/>
    <w:rsid w:val="00D20620"/>
    <w:rsid w:val="00D24054"/>
    <w:rsid w:val="00D24ADE"/>
    <w:rsid w:val="00D254F7"/>
    <w:rsid w:val="00D25FAE"/>
    <w:rsid w:val="00D26091"/>
    <w:rsid w:val="00D2685C"/>
    <w:rsid w:val="00D322D5"/>
    <w:rsid w:val="00D34E7C"/>
    <w:rsid w:val="00D35489"/>
    <w:rsid w:val="00D36AFE"/>
    <w:rsid w:val="00D37C98"/>
    <w:rsid w:val="00D41279"/>
    <w:rsid w:val="00D43AC9"/>
    <w:rsid w:val="00D4619B"/>
    <w:rsid w:val="00D51276"/>
    <w:rsid w:val="00D5300F"/>
    <w:rsid w:val="00D56F8C"/>
    <w:rsid w:val="00D57CA0"/>
    <w:rsid w:val="00D63AEA"/>
    <w:rsid w:val="00D64243"/>
    <w:rsid w:val="00D673D6"/>
    <w:rsid w:val="00D7035F"/>
    <w:rsid w:val="00D765E4"/>
    <w:rsid w:val="00D97BA4"/>
    <w:rsid w:val="00DA634F"/>
    <w:rsid w:val="00DA65AC"/>
    <w:rsid w:val="00DB1913"/>
    <w:rsid w:val="00DB1CBE"/>
    <w:rsid w:val="00DB40B3"/>
    <w:rsid w:val="00DC20FD"/>
    <w:rsid w:val="00DC410D"/>
    <w:rsid w:val="00DC5A81"/>
    <w:rsid w:val="00DC68CA"/>
    <w:rsid w:val="00DC7CBA"/>
    <w:rsid w:val="00DD32B1"/>
    <w:rsid w:val="00DD73B7"/>
    <w:rsid w:val="00DE169D"/>
    <w:rsid w:val="00DE188B"/>
    <w:rsid w:val="00DF25A6"/>
    <w:rsid w:val="00DF28BC"/>
    <w:rsid w:val="00DF2A58"/>
    <w:rsid w:val="00DF34B9"/>
    <w:rsid w:val="00DF56BB"/>
    <w:rsid w:val="00E01053"/>
    <w:rsid w:val="00E0549A"/>
    <w:rsid w:val="00E05BED"/>
    <w:rsid w:val="00E07ACF"/>
    <w:rsid w:val="00E27A14"/>
    <w:rsid w:val="00E32CAD"/>
    <w:rsid w:val="00E331A1"/>
    <w:rsid w:val="00E33202"/>
    <w:rsid w:val="00E336A9"/>
    <w:rsid w:val="00E34FA2"/>
    <w:rsid w:val="00E351A3"/>
    <w:rsid w:val="00E472B1"/>
    <w:rsid w:val="00E50624"/>
    <w:rsid w:val="00E5131A"/>
    <w:rsid w:val="00E527B5"/>
    <w:rsid w:val="00E568DF"/>
    <w:rsid w:val="00E64269"/>
    <w:rsid w:val="00E6615C"/>
    <w:rsid w:val="00E82267"/>
    <w:rsid w:val="00E853CE"/>
    <w:rsid w:val="00E867B6"/>
    <w:rsid w:val="00E92C90"/>
    <w:rsid w:val="00E94F0F"/>
    <w:rsid w:val="00E95C7D"/>
    <w:rsid w:val="00EA010F"/>
    <w:rsid w:val="00EB46E0"/>
    <w:rsid w:val="00EC0CD5"/>
    <w:rsid w:val="00EC4F8F"/>
    <w:rsid w:val="00ED1B63"/>
    <w:rsid w:val="00ED3C1F"/>
    <w:rsid w:val="00ED4085"/>
    <w:rsid w:val="00ED415F"/>
    <w:rsid w:val="00ED420E"/>
    <w:rsid w:val="00ED6FBE"/>
    <w:rsid w:val="00EE2F57"/>
    <w:rsid w:val="00EF4C34"/>
    <w:rsid w:val="00EF4DDA"/>
    <w:rsid w:val="00EF60EF"/>
    <w:rsid w:val="00EF720F"/>
    <w:rsid w:val="00EF77C6"/>
    <w:rsid w:val="00F03D40"/>
    <w:rsid w:val="00F05438"/>
    <w:rsid w:val="00F06894"/>
    <w:rsid w:val="00F0772B"/>
    <w:rsid w:val="00F1361C"/>
    <w:rsid w:val="00F156F0"/>
    <w:rsid w:val="00F160C7"/>
    <w:rsid w:val="00F17A74"/>
    <w:rsid w:val="00F2408F"/>
    <w:rsid w:val="00F240E9"/>
    <w:rsid w:val="00F272B7"/>
    <w:rsid w:val="00F36D8F"/>
    <w:rsid w:val="00F417B1"/>
    <w:rsid w:val="00F45853"/>
    <w:rsid w:val="00F477E4"/>
    <w:rsid w:val="00F53C9B"/>
    <w:rsid w:val="00F555BB"/>
    <w:rsid w:val="00F602DF"/>
    <w:rsid w:val="00F616A4"/>
    <w:rsid w:val="00F65E8A"/>
    <w:rsid w:val="00F66BE5"/>
    <w:rsid w:val="00F6715D"/>
    <w:rsid w:val="00F7218E"/>
    <w:rsid w:val="00F754A1"/>
    <w:rsid w:val="00F81FD9"/>
    <w:rsid w:val="00F841AA"/>
    <w:rsid w:val="00F84214"/>
    <w:rsid w:val="00F84A94"/>
    <w:rsid w:val="00F87E96"/>
    <w:rsid w:val="00F907EA"/>
    <w:rsid w:val="00F919B9"/>
    <w:rsid w:val="00FA23E8"/>
    <w:rsid w:val="00FA31C6"/>
    <w:rsid w:val="00FA3919"/>
    <w:rsid w:val="00FA5F07"/>
    <w:rsid w:val="00FA7070"/>
    <w:rsid w:val="00FB336E"/>
    <w:rsid w:val="00FB3DD0"/>
    <w:rsid w:val="00FB5F30"/>
    <w:rsid w:val="00FC5A6B"/>
    <w:rsid w:val="00FD3CC1"/>
    <w:rsid w:val="00FD4B6A"/>
    <w:rsid w:val="00FE22CB"/>
    <w:rsid w:val="00FE6B4E"/>
    <w:rsid w:val="00FF1E02"/>
    <w:rsid w:val="00FF30B4"/>
    <w:rsid w:val="00FF3E44"/>
    <w:rsid w:val="00FF73DA"/>
    <w:rsid w:val="03E06CA3"/>
    <w:rsid w:val="05A57C47"/>
    <w:rsid w:val="0A2032A3"/>
    <w:rsid w:val="0A36546A"/>
    <w:rsid w:val="10C055FF"/>
    <w:rsid w:val="118107EC"/>
    <w:rsid w:val="11F54CEB"/>
    <w:rsid w:val="11FC37B9"/>
    <w:rsid w:val="153A0DBB"/>
    <w:rsid w:val="16BB723D"/>
    <w:rsid w:val="1D155CEE"/>
    <w:rsid w:val="240371BF"/>
    <w:rsid w:val="27FD758D"/>
    <w:rsid w:val="29FD04D3"/>
    <w:rsid w:val="2C0D22B4"/>
    <w:rsid w:val="319F7F4E"/>
    <w:rsid w:val="4ECE2238"/>
    <w:rsid w:val="50C52105"/>
    <w:rsid w:val="59DD07D1"/>
    <w:rsid w:val="5D8F348B"/>
    <w:rsid w:val="65205A5B"/>
    <w:rsid w:val="696F2DC0"/>
    <w:rsid w:val="697C7E6E"/>
    <w:rsid w:val="6C1D25A6"/>
    <w:rsid w:val="6C4A05C8"/>
    <w:rsid w:val="72734D90"/>
    <w:rsid w:val="740344BB"/>
    <w:rsid w:val="7892370F"/>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1"/>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2"/>
    <w:qFormat/>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23"/>
    <w:qFormat/>
    <w:uiPriority w:val="99"/>
    <w:pPr>
      <w:keepNext/>
      <w:keepLines/>
      <w:spacing w:before="260" w:after="260" w:line="416" w:lineRule="auto"/>
      <w:outlineLvl w:val="2"/>
    </w:pPr>
    <w:rPr>
      <w:b/>
      <w:bCs/>
      <w:sz w:val="32"/>
      <w:szCs w:val="32"/>
    </w:rPr>
  </w:style>
  <w:style w:type="character" w:default="1" w:styleId="12">
    <w:name w:val="Default Paragraph Font"/>
    <w:semiHidden/>
    <w:qFormat/>
    <w:uiPriority w:val="99"/>
  </w:style>
  <w:style w:type="table" w:default="1" w:styleId="15">
    <w:name w:val="Normal Table"/>
    <w:unhideWhenUsed/>
    <w:qFormat/>
    <w:uiPriority w:val="99"/>
    <w:tblPr>
      <w:tblStyle w:val="15"/>
      <w:tblLayout w:type="fixed"/>
      <w:tblCellMar>
        <w:top w:w="0" w:type="dxa"/>
        <w:left w:w="108" w:type="dxa"/>
        <w:bottom w:w="0" w:type="dxa"/>
        <w:right w:w="108" w:type="dxa"/>
      </w:tblCellMar>
    </w:tblPr>
    <w:tcPr>
      <w:textDirection w:val="lrTb"/>
    </w:tcPr>
  </w:style>
  <w:style w:type="paragraph" w:styleId="5">
    <w:name w:val="Body Text"/>
    <w:basedOn w:val="1"/>
    <w:link w:val="30"/>
    <w:qFormat/>
    <w:uiPriority w:val="99"/>
    <w:pPr>
      <w:spacing w:beforeLines="30"/>
    </w:pPr>
    <w:rPr>
      <w:rFonts w:ascii="仿宋_GB2312" w:eastAsia="仿宋_GB2312" w:cs="仿宋_GB2312"/>
      <w:kern w:val="0"/>
      <w:sz w:val="24"/>
      <w:szCs w:val="24"/>
    </w:rPr>
  </w:style>
  <w:style w:type="paragraph" w:styleId="6">
    <w:name w:val="toc 3"/>
    <w:basedOn w:val="1"/>
    <w:next w:val="1"/>
    <w:semiHidden/>
    <w:qFormat/>
    <w:uiPriority w:val="99"/>
    <w:pPr>
      <w:tabs>
        <w:tab w:val="right" w:leader="dot" w:pos="8296"/>
      </w:tabs>
      <w:ind w:left="840" w:leftChars="400"/>
    </w:pPr>
  </w:style>
  <w:style w:type="paragraph" w:styleId="7">
    <w:name w:val="Balloon Text"/>
    <w:basedOn w:val="1"/>
    <w:link w:val="25"/>
    <w:semiHidden/>
    <w:qFormat/>
    <w:uiPriority w:val="99"/>
    <w:rPr>
      <w:sz w:val="18"/>
      <w:szCs w:val="18"/>
    </w:rPr>
  </w:style>
  <w:style w:type="paragraph" w:styleId="8">
    <w:name w:val="footer"/>
    <w:basedOn w:val="1"/>
    <w:link w:val="29"/>
    <w:qFormat/>
    <w:uiPriority w:val="99"/>
    <w:pPr>
      <w:tabs>
        <w:tab w:val="center" w:pos="4153"/>
        <w:tab w:val="right" w:pos="8306"/>
      </w:tabs>
      <w:snapToGrid w:val="0"/>
      <w:jc w:val="left"/>
    </w:pPr>
    <w:rPr>
      <w:rFonts w:ascii="Calibri" w:hAnsi="Calibri" w:cs="Calibri"/>
      <w:kern w:val="0"/>
      <w:sz w:val="18"/>
      <w:szCs w:val="18"/>
    </w:rPr>
  </w:style>
  <w:style w:type="paragraph" w:styleId="9">
    <w:name w:val="header"/>
    <w:basedOn w:val="1"/>
    <w:link w:val="28"/>
    <w:semiHidden/>
    <w:qFormat/>
    <w:uiPriority w:val="99"/>
    <w:pPr>
      <w:pBdr>
        <w:bottom w:val="single" w:color="auto" w:sz="6" w:space="1"/>
      </w:pBdr>
      <w:tabs>
        <w:tab w:val="center" w:pos="4153"/>
        <w:tab w:val="right" w:pos="8306"/>
      </w:tabs>
      <w:snapToGrid w:val="0"/>
      <w:jc w:val="center"/>
    </w:pPr>
    <w:rPr>
      <w:rFonts w:ascii="Calibri" w:hAnsi="Calibri" w:cs="Calibri"/>
      <w:kern w:val="0"/>
      <w:sz w:val="18"/>
      <w:szCs w:val="18"/>
    </w:rPr>
  </w:style>
  <w:style w:type="paragraph" w:styleId="10">
    <w:name w:val="toc 1"/>
    <w:basedOn w:val="1"/>
    <w:next w:val="1"/>
    <w:semiHidden/>
    <w:qFormat/>
    <w:uiPriority w:val="99"/>
    <w:pPr>
      <w:tabs>
        <w:tab w:val="right" w:leader="dot" w:pos="8296"/>
      </w:tabs>
      <w:spacing w:before="93"/>
      <w:jc w:val="center"/>
    </w:pPr>
    <w:rPr>
      <w:rFonts w:ascii="仿宋" w:hAnsi="仿宋" w:eastAsia="仿宋" w:cs="仿宋"/>
      <w:sz w:val="28"/>
      <w:szCs w:val="28"/>
    </w:rPr>
  </w:style>
  <w:style w:type="paragraph" w:styleId="11">
    <w:name w:val="toc 2"/>
    <w:basedOn w:val="1"/>
    <w:next w:val="1"/>
    <w:semiHidden/>
    <w:qFormat/>
    <w:uiPriority w:val="99"/>
    <w:pPr>
      <w:tabs>
        <w:tab w:val="right" w:leader="dot" w:pos="8296"/>
      </w:tabs>
      <w:ind w:left="420" w:leftChars="200"/>
    </w:pPr>
  </w:style>
  <w:style w:type="character" w:styleId="13">
    <w:name w:val="Strong"/>
    <w:basedOn w:val="12"/>
    <w:qFormat/>
    <w:uiPriority w:val="99"/>
    <w:rPr>
      <w:b/>
      <w:bCs/>
    </w:rPr>
  </w:style>
  <w:style w:type="character" w:styleId="14">
    <w:name w:val="Hyperlink"/>
    <w:basedOn w:val="12"/>
    <w:qFormat/>
    <w:uiPriority w:val="99"/>
    <w:rPr>
      <w:color w:val="0000FF"/>
      <w:u w:val="single"/>
    </w:rPr>
  </w:style>
  <w:style w:type="paragraph" w:customStyle="1" w:styleId="16">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customStyle="1" w:styleId="17">
    <w:name w:val="列出段落1"/>
    <w:basedOn w:val="1"/>
    <w:qFormat/>
    <w:uiPriority w:val="99"/>
    <w:pPr>
      <w:ind w:firstLine="420" w:firstLineChars="200"/>
    </w:pPr>
  </w:style>
  <w:style w:type="paragraph" w:customStyle="1" w:styleId="18">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9">
    <w:name w:val="TOC Heading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20">
    <w:name w:val="List Paragraph"/>
    <w:basedOn w:val="1"/>
    <w:qFormat/>
    <w:uiPriority w:val="99"/>
    <w:pPr>
      <w:ind w:firstLine="420" w:firstLineChars="200"/>
    </w:pPr>
  </w:style>
  <w:style w:type="character" w:customStyle="1" w:styleId="21">
    <w:name w:val="Heading 1 Char"/>
    <w:basedOn w:val="12"/>
    <w:link w:val="2"/>
    <w:qFormat/>
    <w:locked/>
    <w:uiPriority w:val="99"/>
    <w:rPr>
      <w:rFonts w:ascii="Times New Roman" w:hAnsi="Times New Roman" w:cs="Times New Roman"/>
      <w:b/>
      <w:bCs/>
      <w:kern w:val="44"/>
      <w:sz w:val="44"/>
      <w:szCs w:val="44"/>
    </w:rPr>
  </w:style>
  <w:style w:type="character" w:customStyle="1" w:styleId="22">
    <w:name w:val="Heading 2 Char"/>
    <w:basedOn w:val="12"/>
    <w:link w:val="3"/>
    <w:qFormat/>
    <w:locked/>
    <w:uiPriority w:val="99"/>
    <w:rPr>
      <w:rFonts w:ascii="Cambria" w:hAnsi="Cambria" w:eastAsia="宋体" w:cs="Cambria"/>
      <w:b/>
      <w:bCs/>
      <w:kern w:val="2"/>
      <w:sz w:val="32"/>
      <w:szCs w:val="32"/>
    </w:rPr>
  </w:style>
  <w:style w:type="character" w:customStyle="1" w:styleId="23">
    <w:name w:val="Heading 3 Char"/>
    <w:basedOn w:val="12"/>
    <w:link w:val="4"/>
    <w:qFormat/>
    <w:locked/>
    <w:uiPriority w:val="99"/>
    <w:rPr>
      <w:rFonts w:ascii="Times New Roman" w:hAnsi="Times New Roman" w:cs="Times New Roman"/>
      <w:b/>
      <w:bCs/>
      <w:kern w:val="2"/>
      <w:sz w:val="32"/>
      <w:szCs w:val="32"/>
    </w:rPr>
  </w:style>
  <w:style w:type="character" w:customStyle="1" w:styleId="24">
    <w:name w:val="Body Text Char"/>
    <w:basedOn w:val="12"/>
    <w:link w:val="5"/>
    <w:semiHidden/>
    <w:qFormat/>
    <w:locked/>
    <w:uiPriority w:val="99"/>
    <w:rPr>
      <w:rFonts w:ascii="Times New Roman" w:hAnsi="Times New Roman" w:cs="Times New Roman"/>
      <w:sz w:val="24"/>
      <w:szCs w:val="24"/>
    </w:rPr>
  </w:style>
  <w:style w:type="character" w:customStyle="1" w:styleId="25">
    <w:name w:val="Balloon Text Char"/>
    <w:basedOn w:val="12"/>
    <w:link w:val="7"/>
    <w:semiHidden/>
    <w:qFormat/>
    <w:locked/>
    <w:uiPriority w:val="99"/>
    <w:rPr>
      <w:rFonts w:ascii="Times New Roman" w:hAnsi="Times New Roman" w:cs="Times New Roman"/>
      <w:kern w:val="2"/>
      <w:sz w:val="18"/>
      <w:szCs w:val="18"/>
    </w:rPr>
  </w:style>
  <w:style w:type="character" w:customStyle="1" w:styleId="26">
    <w:name w:val="Footer Char"/>
    <w:basedOn w:val="12"/>
    <w:link w:val="8"/>
    <w:semiHidden/>
    <w:qFormat/>
    <w:locked/>
    <w:uiPriority w:val="99"/>
    <w:rPr>
      <w:rFonts w:ascii="Times New Roman" w:hAnsi="Times New Roman" w:cs="Times New Roman"/>
      <w:sz w:val="18"/>
      <w:szCs w:val="18"/>
    </w:rPr>
  </w:style>
  <w:style w:type="character" w:customStyle="1" w:styleId="27">
    <w:name w:val="Header Char"/>
    <w:basedOn w:val="12"/>
    <w:link w:val="9"/>
    <w:semiHidden/>
    <w:qFormat/>
    <w:locked/>
    <w:uiPriority w:val="99"/>
    <w:rPr>
      <w:rFonts w:ascii="Times New Roman" w:hAnsi="Times New Roman" w:cs="Times New Roman"/>
      <w:sz w:val="18"/>
      <w:szCs w:val="18"/>
    </w:rPr>
  </w:style>
  <w:style w:type="character" w:customStyle="1" w:styleId="28">
    <w:name w:val="Header Char1"/>
    <w:link w:val="9"/>
    <w:semiHidden/>
    <w:qFormat/>
    <w:locked/>
    <w:uiPriority w:val="99"/>
    <w:rPr>
      <w:sz w:val="18"/>
      <w:szCs w:val="18"/>
    </w:rPr>
  </w:style>
  <w:style w:type="character" w:customStyle="1" w:styleId="29">
    <w:name w:val="Footer Char1"/>
    <w:link w:val="8"/>
    <w:qFormat/>
    <w:locked/>
    <w:uiPriority w:val="99"/>
    <w:rPr>
      <w:sz w:val="18"/>
      <w:szCs w:val="18"/>
    </w:rPr>
  </w:style>
  <w:style w:type="character" w:customStyle="1" w:styleId="30">
    <w:name w:val="Body Text Char1"/>
    <w:link w:val="5"/>
    <w:qFormat/>
    <w:locked/>
    <w:uiPriority w:val="99"/>
    <w:rPr>
      <w:rFonts w:ascii="仿宋_GB2312" w:hAnsi="Times New Roman" w:eastAsia="仿宋_GB2312" w:cs="仿宋_GB231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四川省财政厅</Company>
  <Pages>16</Pages>
  <Words>5569</Words>
  <Characters>6065</Characters>
  <Lines>0</Lines>
  <Paragraphs>0</Paragraphs>
  <TotalTime>0</TotalTime>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2021-09-06T12:55:00Z</dcterms:created>
  <dc:creator>曹颖</dc:creator>
  <cp:lastModifiedBy>ALICAY</cp:lastModifiedBy>
  <cp:lastPrinted>2021-09-14T08:29:00Z</cp:lastPrinted>
  <dcterms:modified xsi:type="dcterms:W3CDTF">2024-05-07T00:34:45Z</dcterms:modified>
  <dc:title>四川省***</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y fmtid="{D5CDD505-2E9C-101B-9397-08002B2CF9AE}" pid="3" name="ICV">
    <vt:lpwstr>B373D93D1FA34AA99A3837EF8AD5A244</vt:lpwstr>
  </property>
</Properties>
</file>