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000000" w:fill="auto"/>
        <w:spacing w:beforeLines="0" w:afterLines="0" w:line="360" w:lineRule="auto"/>
        <w:jc w:val="center"/>
        <w:rPr>
          <w:rFonts w:hint="eastAsia" w:ascii="方正小标宋简体" w:hAnsi="方正小标宋简体" w:eastAsia="方正小标宋简体"/>
          <w:color w:val="auto"/>
          <w:sz w:val="72"/>
          <w:szCs w:val="24"/>
          <w:highlight w:val="none"/>
          <w:lang w:val="zh-CN"/>
        </w:rPr>
      </w:pPr>
    </w:p>
    <w:p>
      <w:pPr>
        <w:shd w:val="clear" w:color="000000" w:fill="auto"/>
        <w:spacing w:beforeLines="0" w:afterLines="0" w:line="360" w:lineRule="auto"/>
        <w:jc w:val="center"/>
        <w:outlineLvl w:val="0"/>
        <w:rPr>
          <w:rFonts w:hint="eastAsia" w:ascii="方正小标宋简体" w:hAnsi="方正小标宋简体" w:eastAsia="方正小标宋简体"/>
          <w:color w:val="auto"/>
          <w:sz w:val="72"/>
          <w:szCs w:val="24"/>
          <w:highlight w:val="none"/>
          <w:lang w:val="zh-CN"/>
        </w:rPr>
      </w:pPr>
      <w:bookmarkStart w:id="0" w:name="_Toc10957"/>
      <w:r>
        <w:rPr>
          <w:rFonts w:hint="eastAsia" w:ascii="方正小标宋简体" w:hAnsi="方正小标宋简体" w:eastAsia="方正小标宋简体"/>
          <w:color w:val="auto"/>
          <w:sz w:val="72"/>
          <w:szCs w:val="24"/>
          <w:highlight w:val="none"/>
          <w:lang w:val="zh-CN"/>
        </w:rPr>
        <w:t>广元市城市管理行政执法局部门决算编制说明</w:t>
      </w:r>
      <w:bookmarkEnd w:id="0"/>
    </w:p>
    <w:p>
      <w:pPr>
        <w:shd w:val="clear" w:color="000000" w:fill="auto"/>
        <w:spacing w:beforeLines="0" w:afterLines="0" w:line="360" w:lineRule="auto"/>
        <w:jc w:val="center"/>
        <w:rPr>
          <w:rFonts w:hint="eastAsia" w:ascii="方正小标宋简体" w:hAnsi="方正小标宋简体" w:eastAsia="方正小标宋简体"/>
          <w:color w:val="auto"/>
          <w:sz w:val="52"/>
          <w:szCs w:val="24"/>
          <w:highlight w:val="none"/>
          <w:lang w:val="zh-CN"/>
        </w:rPr>
      </w:pPr>
    </w:p>
    <w:p>
      <w:pPr>
        <w:keepNext/>
        <w:keepLines/>
        <w:shd w:val="clear" w:color="020000" w:fill="auto"/>
        <w:tabs>
          <w:tab w:val="right" w:leader="dot" w:pos="8296"/>
        </w:tabs>
        <w:spacing w:beforeLines="0" w:afterLines="0" w:line="576" w:lineRule="exact"/>
        <w:jc w:val="left"/>
        <w:rPr>
          <w:rFonts w:hint="eastAsia" w:ascii="黑体" w:hAnsi="黑体" w:eastAsia="黑体"/>
          <w:b/>
          <w:color w:val="auto"/>
          <w:sz w:val="48"/>
          <w:szCs w:val="24"/>
          <w:highlight w:val="none"/>
          <w:lang w:val="zh-CN"/>
        </w:rPr>
      </w:pPr>
    </w:p>
    <w:p>
      <w:pPr>
        <w:shd w:val="clear" w:color="000000" w:fill="auto"/>
        <w:spacing w:beforeLines="0" w:afterLines="0"/>
        <w:jc w:val="center"/>
        <w:rPr>
          <w:rFonts w:hint="eastAsia" w:ascii="黑体" w:hAnsi="黑体" w:eastAsia="黑体"/>
          <w:color w:val="auto"/>
          <w:sz w:val="48"/>
          <w:szCs w:val="24"/>
          <w:highlight w:val="none"/>
          <w:lang w:val="zh-CN"/>
        </w:rPr>
      </w:pPr>
    </w:p>
    <w:p>
      <w:pPr>
        <w:shd w:val="clear" w:color="000000" w:fill="auto"/>
        <w:spacing w:beforeLines="0" w:afterLines="0"/>
        <w:jc w:val="center"/>
        <w:rPr>
          <w:rFonts w:hint="eastAsia" w:ascii="黑体" w:hAnsi="黑体" w:eastAsia="黑体"/>
          <w:color w:val="auto"/>
          <w:sz w:val="48"/>
          <w:szCs w:val="24"/>
          <w:highlight w:val="none"/>
          <w:lang w:val="zh-CN"/>
        </w:rPr>
      </w:pPr>
    </w:p>
    <w:p>
      <w:pPr>
        <w:shd w:val="clear" w:color="000000" w:fill="auto"/>
        <w:spacing w:beforeLines="0" w:afterLines="0"/>
        <w:jc w:val="center"/>
        <w:rPr>
          <w:rFonts w:hint="eastAsia" w:ascii="黑体" w:hAnsi="黑体" w:eastAsia="黑体"/>
          <w:color w:val="auto"/>
          <w:sz w:val="48"/>
          <w:szCs w:val="24"/>
          <w:highlight w:val="none"/>
          <w:lang w:val="zh-CN"/>
        </w:rPr>
      </w:pPr>
    </w:p>
    <w:p>
      <w:pPr>
        <w:shd w:val="clear" w:color="000000" w:fill="auto"/>
        <w:spacing w:beforeLines="0" w:afterLines="0"/>
        <w:jc w:val="center"/>
        <w:rPr>
          <w:rFonts w:hint="eastAsia" w:ascii="黑体" w:hAnsi="黑体" w:eastAsia="黑体"/>
          <w:color w:val="auto"/>
          <w:sz w:val="48"/>
          <w:szCs w:val="24"/>
          <w:highlight w:val="none"/>
          <w:lang w:val="zh-CN"/>
        </w:rPr>
      </w:pPr>
    </w:p>
    <w:p>
      <w:pPr>
        <w:shd w:val="clear" w:color="000000" w:fill="auto"/>
        <w:spacing w:beforeLines="0" w:afterLines="0"/>
        <w:jc w:val="center"/>
        <w:rPr>
          <w:rFonts w:hint="eastAsia" w:ascii="黑体" w:hAnsi="黑体" w:eastAsia="黑体"/>
          <w:color w:val="auto"/>
          <w:sz w:val="48"/>
          <w:szCs w:val="24"/>
          <w:highlight w:val="none"/>
          <w:lang w:val="zh-CN"/>
        </w:rPr>
      </w:pPr>
    </w:p>
    <w:p>
      <w:pPr>
        <w:pStyle w:val="6"/>
        <w:shd w:val="clear" w:color="010000" w:fill="auto"/>
        <w:rPr>
          <w:rFonts w:hint="eastAsia"/>
          <w:color w:val="auto"/>
          <w:highlight w:val="none"/>
          <w:lang w:val="zh-CN"/>
        </w:rPr>
      </w:pPr>
    </w:p>
    <w:p>
      <w:pPr>
        <w:shd w:val="clear" w:color="000000" w:fill="auto"/>
        <w:spacing w:beforeLines="0" w:afterLines="0"/>
        <w:jc w:val="center"/>
        <w:rPr>
          <w:rFonts w:hint="eastAsia" w:ascii="黑体" w:hAnsi="黑体" w:eastAsia="黑体"/>
          <w:color w:val="auto"/>
          <w:sz w:val="48"/>
          <w:szCs w:val="24"/>
          <w:highlight w:val="none"/>
          <w:lang w:val="zh-CN"/>
        </w:rPr>
      </w:pPr>
    </w:p>
    <w:p>
      <w:pPr>
        <w:shd w:val="clear" w:color="000000" w:fill="auto"/>
        <w:spacing w:beforeLines="0" w:afterLines="0"/>
        <w:jc w:val="center"/>
        <w:rPr>
          <w:rFonts w:hint="eastAsia" w:ascii="黑体" w:hAnsi="黑体" w:eastAsia="黑体"/>
          <w:color w:val="auto"/>
          <w:sz w:val="24"/>
          <w:szCs w:val="15"/>
          <w:highlight w:val="none"/>
          <w:lang w:val="zh-CN"/>
        </w:rPr>
      </w:pPr>
      <w:r>
        <w:rPr>
          <w:rFonts w:hint="eastAsia" w:ascii="方正小标宋简体" w:hAnsi="方正小标宋简体" w:eastAsia="方正小标宋简体"/>
          <w:color w:val="auto"/>
          <w:sz w:val="36"/>
          <w:szCs w:val="15"/>
          <w:highlight w:val="none"/>
          <w:lang w:val="zh-CN"/>
        </w:rPr>
        <w:t>2022年度</w:t>
      </w:r>
    </w:p>
    <w:p>
      <w:pPr>
        <w:shd w:val="clear" w:color="000000" w:fill="auto"/>
        <w:spacing w:beforeLines="0" w:afterLines="0"/>
        <w:jc w:val="both"/>
        <w:rPr>
          <w:rFonts w:hint="eastAsia" w:ascii="黑体" w:hAnsi="黑体" w:eastAsia="黑体"/>
          <w:color w:val="auto"/>
          <w:sz w:val="48"/>
          <w:szCs w:val="24"/>
          <w:highlight w:val="none"/>
          <w:lang w:val="zh-CN"/>
        </w:rPr>
      </w:pPr>
    </w:p>
    <w:p>
      <w:pPr>
        <w:shd w:val="clear" w:color="000000" w:fill="auto"/>
        <w:spacing w:beforeLines="0" w:afterLines="0"/>
        <w:jc w:val="center"/>
        <w:rPr>
          <w:rFonts w:hint="eastAsia" w:ascii="方正小标宋简体" w:hAnsi="方正小标宋简体" w:eastAsia="方正小标宋简体" w:cs="方正小标宋简体"/>
          <w:color w:val="auto"/>
          <w:sz w:val="44"/>
          <w:szCs w:val="44"/>
          <w:highlight w:val="none"/>
          <w:lang w:val="zh-CN"/>
        </w:rPr>
        <w:sectPr>
          <w:headerReference r:id="rId4" w:type="default"/>
          <w:footerReference r:id="rId5" w:type="even"/>
          <w:pgSz w:w="11906" w:h="16838"/>
          <w:pgMar w:top="2098" w:right="1474" w:bottom="1474" w:left="1587" w:header="851" w:footer="1020" w:gutter="0"/>
          <w:pgNumType w:fmt="decimal" w:start="1"/>
          <w:cols w:space="720" w:num="1"/>
          <w:titlePg/>
          <w:rtlGutter w:val="0"/>
          <w:docGrid w:type="lines" w:linePitch="435" w:charSpace="0"/>
        </w:sectPr>
      </w:pPr>
    </w:p>
    <w:p>
      <w:pPr>
        <w:shd w:val="clear" w:color="000000" w:fill="auto"/>
        <w:spacing w:beforeLines="0" w:afterLines="0"/>
        <w:jc w:val="center"/>
        <w:rPr>
          <w:rFonts w:hint="eastAsia"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val="zh-CN"/>
        </w:rPr>
        <w:t>录</w:t>
      </w:r>
    </w:p>
    <w:p>
      <w:pPr>
        <w:pStyle w:val="2"/>
        <w:shd w:val="clear" w:color="010000" w:fill="auto"/>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公开时间：2023年9月28日</w:t>
      </w:r>
    </w:p>
    <w:p>
      <w:pPr>
        <w:shd w:val="clear" w:color="000000" w:fill="auto"/>
        <w:spacing w:before="0" w:beforeLines="0" w:after="0" w:afterLines="0" w:line="240" w:lineRule="auto"/>
        <w:ind w:left="0" w:leftChars="0" w:right="0" w:firstLine="0" w:firstLineChars="0"/>
        <w:jc w:val="center"/>
        <w:rPr>
          <w:color w:val="auto"/>
          <w:highlight w:val="none"/>
        </w:rPr>
      </w:pPr>
      <w:r>
        <w:rPr>
          <w:rFonts w:hint="eastAsia" w:ascii="仿宋_GB2312" w:hAnsi="仿宋_GB2312" w:eastAsia="仿宋_GB2312" w:cs="仿宋_GB2312"/>
          <w:color w:val="auto"/>
          <w:sz w:val="32"/>
          <w:szCs w:val="32"/>
          <w:highlight w:val="none"/>
          <w:lang w:val="zh-CN"/>
        </w:rPr>
        <w:fldChar w:fldCharType="begin"/>
      </w:r>
      <w:r>
        <w:rPr>
          <w:rFonts w:hint="eastAsia" w:ascii="仿宋_GB2312" w:hAnsi="仿宋_GB2312" w:eastAsia="仿宋_GB2312" w:cs="仿宋_GB2312"/>
          <w:color w:val="auto"/>
          <w:sz w:val="32"/>
          <w:szCs w:val="32"/>
          <w:highlight w:val="none"/>
          <w:lang w:val="zh-CN"/>
        </w:rPr>
        <w:instrText xml:space="preserve">TOC \o "1-2" \h \u </w:instrText>
      </w:r>
      <w:r>
        <w:rPr>
          <w:rFonts w:hint="eastAsia" w:ascii="仿宋_GB2312" w:hAnsi="仿宋_GB2312" w:eastAsia="仿宋_GB2312" w:cs="仿宋_GB2312"/>
          <w:color w:val="auto"/>
          <w:sz w:val="32"/>
          <w:szCs w:val="32"/>
          <w:highlight w:val="none"/>
          <w:lang w:val="zh-CN"/>
        </w:rPr>
        <w:fldChar w:fldCharType="separate"/>
      </w:r>
    </w:p>
    <w:p>
      <w:pPr>
        <w:pStyle w:val="15"/>
        <w:widowControl/>
        <w:shd w:val="clear" w:color="050000" w:fill="auto"/>
        <w:tabs>
          <w:tab w:val="right" w:leader="dot" w:pos="8845"/>
        </w:tabs>
        <w:wordWrap/>
        <w:adjustRightInd/>
        <w:snapToGrid/>
        <w:spacing w:line="360" w:lineRule="exact"/>
        <w:textAlignment w:val="auto"/>
        <w:rPr>
          <w:b/>
          <w:color w:val="auto"/>
          <w:highlight w:val="none"/>
        </w:rPr>
      </w:pPr>
      <w:r>
        <w:rPr>
          <w:rFonts w:hint="eastAsia" w:ascii="仿宋_GB2312" w:hAnsi="仿宋_GB2312" w:eastAsia="仿宋_GB2312" w:cs="仿宋_GB2312"/>
          <w:b/>
          <w:color w:val="auto"/>
          <w:szCs w:val="32"/>
          <w:highlight w:val="none"/>
          <w:lang w:val="zh-CN"/>
        </w:rPr>
        <w:fldChar w:fldCharType="begin"/>
      </w:r>
      <w:r>
        <w:rPr>
          <w:rFonts w:hint="eastAsia" w:ascii="仿宋_GB2312" w:hAnsi="仿宋_GB2312" w:eastAsia="仿宋_GB2312" w:cs="仿宋_GB2312"/>
          <w:b/>
          <w:color w:val="auto"/>
          <w:szCs w:val="32"/>
          <w:highlight w:val="none"/>
          <w:lang w:val="zh-CN"/>
        </w:rPr>
        <w:instrText xml:space="preserve"> HYPERLINK \l _Toc16362 </w:instrText>
      </w:r>
      <w:r>
        <w:rPr>
          <w:rFonts w:hint="eastAsia" w:ascii="仿宋_GB2312" w:hAnsi="仿宋_GB2312" w:eastAsia="仿宋_GB2312" w:cs="仿宋_GB2312"/>
          <w:b/>
          <w:color w:val="auto"/>
          <w:szCs w:val="32"/>
          <w:highlight w:val="none"/>
          <w:lang w:val="zh-CN"/>
        </w:rPr>
        <w:fldChar w:fldCharType="separate"/>
      </w:r>
      <w:r>
        <w:rPr>
          <w:rFonts w:hint="eastAsia" w:ascii="方正小标宋简体" w:hAnsi="方正小标宋简体" w:eastAsia="方正小标宋简体" w:cs="方正小标宋简体"/>
          <w:b/>
          <w:color w:val="auto"/>
          <w:szCs w:val="44"/>
          <w:highlight w:val="none"/>
          <w:lang w:val="zh-CN"/>
        </w:rPr>
        <w:t>第一部分 部门概况</w:t>
      </w:r>
      <w:r>
        <w:rPr>
          <w:b/>
          <w:color w:val="auto"/>
          <w:highlight w:val="none"/>
        </w:rPr>
        <w:tab/>
      </w:r>
      <w:r>
        <w:rPr>
          <w:b/>
          <w:color w:val="auto"/>
          <w:highlight w:val="none"/>
        </w:rPr>
        <w:fldChar w:fldCharType="begin"/>
      </w:r>
      <w:r>
        <w:rPr>
          <w:b/>
          <w:color w:val="auto"/>
          <w:highlight w:val="none"/>
        </w:rPr>
        <w:instrText xml:space="preserve"> PAGEREF _Toc16362 \h </w:instrText>
      </w:r>
      <w:r>
        <w:rPr>
          <w:b/>
          <w:color w:val="auto"/>
          <w:highlight w:val="none"/>
        </w:rPr>
        <w:fldChar w:fldCharType="separate"/>
      </w:r>
      <w:r>
        <w:rPr>
          <w:b/>
          <w:color w:val="auto"/>
          <w:highlight w:val="none"/>
        </w:rPr>
        <w:t>1</w:t>
      </w:r>
      <w:r>
        <w:rPr>
          <w:b/>
          <w:color w:val="auto"/>
          <w:highlight w:val="none"/>
        </w:rPr>
        <w:fldChar w:fldCharType="end"/>
      </w:r>
      <w:r>
        <w:rPr>
          <w:rFonts w:hint="eastAsia" w:ascii="仿宋_GB2312" w:hAnsi="仿宋_GB2312" w:eastAsia="仿宋_GB2312" w:cs="仿宋_GB2312"/>
          <w:b/>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_Toc24412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szCs w:val="32"/>
          <w:highlight w:val="none"/>
          <w:lang w:val="zh-CN"/>
        </w:rPr>
        <w:t>一、部门职责</w:t>
      </w:r>
      <w:r>
        <w:rPr>
          <w:color w:val="auto"/>
          <w:highlight w:val="none"/>
        </w:rPr>
        <w:tab/>
      </w:r>
      <w:r>
        <w:rPr>
          <w:color w:val="auto"/>
          <w:highlight w:val="none"/>
        </w:rPr>
        <w:fldChar w:fldCharType="begin"/>
      </w:r>
      <w:r>
        <w:rPr>
          <w:color w:val="auto"/>
          <w:highlight w:val="none"/>
        </w:rPr>
        <w:instrText xml:space="preserve"> PAGEREF _Toc24412 \h </w:instrText>
      </w:r>
      <w:r>
        <w:rPr>
          <w:color w:val="auto"/>
          <w:highlight w:val="none"/>
        </w:rPr>
        <w:fldChar w:fldCharType="separate"/>
      </w:r>
      <w:r>
        <w:rPr>
          <w:color w:val="auto"/>
          <w:highlight w:val="none"/>
        </w:rPr>
        <w:t>1</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_Toc25648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szCs w:val="32"/>
          <w:highlight w:val="none"/>
          <w:lang w:val="zh-CN"/>
        </w:rPr>
        <w:t>二、机构设置</w:t>
      </w:r>
      <w:r>
        <w:rPr>
          <w:color w:val="auto"/>
          <w:highlight w:val="none"/>
        </w:rPr>
        <w:tab/>
      </w:r>
      <w:r>
        <w:rPr>
          <w:color w:val="auto"/>
          <w:highlight w:val="none"/>
        </w:rPr>
        <w:fldChar w:fldCharType="begin"/>
      </w:r>
      <w:r>
        <w:rPr>
          <w:color w:val="auto"/>
          <w:highlight w:val="none"/>
        </w:rPr>
        <w:instrText xml:space="preserve"> PAGEREF _Toc25648 \h </w:instrText>
      </w:r>
      <w:r>
        <w:rPr>
          <w:color w:val="auto"/>
          <w:highlight w:val="none"/>
        </w:rPr>
        <w:fldChar w:fldCharType="separate"/>
      </w:r>
      <w:r>
        <w:rPr>
          <w:color w:val="auto"/>
          <w:highlight w:val="none"/>
        </w:rPr>
        <w:t>1</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5"/>
        <w:widowControl/>
        <w:shd w:val="clear" w:color="050000" w:fill="auto"/>
        <w:tabs>
          <w:tab w:val="right" w:leader="dot" w:pos="8845"/>
        </w:tabs>
        <w:wordWrap/>
        <w:adjustRightInd/>
        <w:snapToGrid/>
        <w:spacing w:line="360" w:lineRule="exact"/>
        <w:textAlignment w:val="auto"/>
        <w:rPr>
          <w:b/>
          <w:color w:val="auto"/>
          <w:highlight w:val="none"/>
        </w:rPr>
      </w:pPr>
      <w:r>
        <w:rPr>
          <w:rFonts w:hint="eastAsia" w:ascii="仿宋_GB2312" w:hAnsi="仿宋_GB2312" w:eastAsia="仿宋_GB2312" w:cs="仿宋_GB2312"/>
          <w:b/>
          <w:color w:val="auto"/>
          <w:szCs w:val="32"/>
          <w:highlight w:val="none"/>
          <w:lang w:val="zh-CN"/>
        </w:rPr>
        <w:fldChar w:fldCharType="begin"/>
      </w:r>
      <w:r>
        <w:rPr>
          <w:rFonts w:hint="eastAsia" w:ascii="仿宋_GB2312" w:hAnsi="仿宋_GB2312" w:eastAsia="仿宋_GB2312" w:cs="仿宋_GB2312"/>
          <w:b/>
          <w:color w:val="auto"/>
          <w:szCs w:val="32"/>
          <w:highlight w:val="none"/>
          <w:lang w:val="zh-CN"/>
        </w:rPr>
        <w:instrText xml:space="preserve"> HYPERLINK \l _Toc21545 </w:instrText>
      </w:r>
      <w:r>
        <w:rPr>
          <w:rFonts w:hint="eastAsia" w:ascii="仿宋_GB2312" w:hAnsi="仿宋_GB2312" w:eastAsia="仿宋_GB2312" w:cs="仿宋_GB2312"/>
          <w:b/>
          <w:color w:val="auto"/>
          <w:szCs w:val="32"/>
          <w:highlight w:val="none"/>
          <w:lang w:val="zh-CN"/>
        </w:rPr>
        <w:fldChar w:fldCharType="separate"/>
      </w:r>
      <w:r>
        <w:rPr>
          <w:rFonts w:hint="eastAsia" w:ascii="方正小标宋简体" w:hAnsi="方正小标宋简体" w:eastAsia="方正小标宋简体" w:cs="方正小标宋简体"/>
          <w:b/>
          <w:color w:val="auto"/>
          <w:szCs w:val="44"/>
          <w:highlight w:val="none"/>
          <w:lang w:val="zh-CN"/>
        </w:rPr>
        <w:t>第二部分 2022年度部门决算情况说明</w:t>
      </w:r>
      <w:r>
        <w:rPr>
          <w:b/>
          <w:color w:val="auto"/>
          <w:highlight w:val="none"/>
        </w:rPr>
        <w:tab/>
      </w:r>
      <w:r>
        <w:rPr>
          <w:b/>
          <w:color w:val="auto"/>
          <w:highlight w:val="none"/>
        </w:rPr>
        <w:fldChar w:fldCharType="begin"/>
      </w:r>
      <w:r>
        <w:rPr>
          <w:b/>
          <w:color w:val="auto"/>
          <w:highlight w:val="none"/>
        </w:rPr>
        <w:instrText xml:space="preserve"> PAGEREF _Toc21545 \h </w:instrText>
      </w:r>
      <w:r>
        <w:rPr>
          <w:b/>
          <w:color w:val="auto"/>
          <w:highlight w:val="none"/>
        </w:rPr>
        <w:fldChar w:fldCharType="separate"/>
      </w:r>
      <w:r>
        <w:rPr>
          <w:b/>
          <w:color w:val="auto"/>
          <w:highlight w:val="none"/>
        </w:rPr>
        <w:t>3</w:t>
      </w:r>
      <w:r>
        <w:rPr>
          <w:b/>
          <w:color w:val="auto"/>
          <w:highlight w:val="none"/>
        </w:rPr>
        <w:fldChar w:fldCharType="end"/>
      </w:r>
      <w:r>
        <w:rPr>
          <w:rFonts w:hint="eastAsia" w:ascii="仿宋_GB2312" w:hAnsi="仿宋_GB2312" w:eastAsia="仿宋_GB2312" w:cs="仿宋_GB2312"/>
          <w:b/>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_Toc20752 </w:instrText>
      </w:r>
      <w:r>
        <w:rPr>
          <w:rFonts w:hint="eastAsia" w:ascii="仿宋_GB2312" w:hAnsi="仿宋_GB2312" w:eastAsia="仿宋_GB2312" w:cs="仿宋_GB2312"/>
          <w:color w:val="auto"/>
          <w:szCs w:val="32"/>
          <w:highlight w:val="none"/>
          <w:lang w:val="zh-CN"/>
        </w:rPr>
        <w:fldChar w:fldCharType="separate"/>
      </w:r>
      <w:r>
        <w:rPr>
          <w:rFonts w:hint="eastAsia" w:ascii="黑体" w:hAnsi="黑体" w:eastAsia="黑体"/>
          <w:color w:val="auto"/>
          <w:kern w:val="2"/>
          <w:szCs w:val="24"/>
          <w:highlight w:val="none"/>
          <w:lang w:val="zh-CN"/>
        </w:rPr>
        <w:t>一、收入支出决算总体情况说明</w:t>
      </w:r>
      <w:r>
        <w:rPr>
          <w:color w:val="auto"/>
          <w:highlight w:val="none"/>
        </w:rPr>
        <w:tab/>
      </w:r>
      <w:r>
        <w:rPr>
          <w:color w:val="auto"/>
          <w:highlight w:val="none"/>
        </w:rPr>
        <w:fldChar w:fldCharType="begin"/>
      </w:r>
      <w:r>
        <w:rPr>
          <w:color w:val="auto"/>
          <w:highlight w:val="none"/>
        </w:rPr>
        <w:instrText xml:space="preserve"> PAGEREF _Toc20752 \h </w:instrText>
      </w:r>
      <w:r>
        <w:rPr>
          <w:color w:val="auto"/>
          <w:highlight w:val="none"/>
        </w:rPr>
        <w:fldChar w:fldCharType="separate"/>
      </w:r>
      <w:r>
        <w:rPr>
          <w:color w:val="auto"/>
          <w:highlight w:val="none"/>
        </w:rPr>
        <w:t>3</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_Toc23379 </w:instrText>
      </w:r>
      <w:r>
        <w:rPr>
          <w:rFonts w:hint="eastAsia" w:ascii="仿宋_GB2312" w:hAnsi="仿宋_GB2312" w:eastAsia="仿宋_GB2312" w:cs="仿宋_GB2312"/>
          <w:color w:val="auto"/>
          <w:szCs w:val="32"/>
          <w:highlight w:val="none"/>
          <w:lang w:val="zh-CN"/>
        </w:rPr>
        <w:fldChar w:fldCharType="separate"/>
      </w:r>
      <w:r>
        <w:rPr>
          <w:rFonts w:hint="eastAsia" w:ascii="黑体" w:hAnsi="黑体" w:eastAsia="黑体"/>
          <w:color w:val="auto"/>
          <w:kern w:val="2"/>
          <w:szCs w:val="24"/>
          <w:highlight w:val="none"/>
          <w:lang w:val="zh-CN"/>
        </w:rPr>
        <w:t>二、收入决算情况说明</w:t>
      </w:r>
      <w:r>
        <w:rPr>
          <w:color w:val="auto"/>
          <w:highlight w:val="none"/>
        </w:rPr>
        <w:tab/>
      </w:r>
      <w:r>
        <w:rPr>
          <w:color w:val="auto"/>
          <w:highlight w:val="none"/>
        </w:rPr>
        <w:fldChar w:fldCharType="begin"/>
      </w:r>
      <w:r>
        <w:rPr>
          <w:color w:val="auto"/>
          <w:highlight w:val="none"/>
        </w:rPr>
        <w:instrText xml:space="preserve"> PAGEREF _Toc23379 \h </w:instrText>
      </w:r>
      <w:r>
        <w:rPr>
          <w:color w:val="auto"/>
          <w:highlight w:val="none"/>
        </w:rPr>
        <w:fldChar w:fldCharType="separate"/>
      </w:r>
      <w:r>
        <w:rPr>
          <w:color w:val="auto"/>
          <w:highlight w:val="none"/>
        </w:rPr>
        <w:t>3</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_Toc17238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kern w:val="2"/>
          <w:szCs w:val="24"/>
          <w:highlight w:val="none"/>
          <w:lang w:val="zh-CN"/>
        </w:rPr>
        <w:t>三、支出决算情况说明</w:t>
      </w:r>
      <w:r>
        <w:rPr>
          <w:color w:val="auto"/>
          <w:highlight w:val="none"/>
        </w:rPr>
        <w:tab/>
      </w:r>
      <w:r>
        <w:rPr>
          <w:color w:val="auto"/>
          <w:highlight w:val="none"/>
        </w:rPr>
        <w:fldChar w:fldCharType="begin"/>
      </w:r>
      <w:r>
        <w:rPr>
          <w:color w:val="auto"/>
          <w:highlight w:val="none"/>
        </w:rPr>
        <w:instrText xml:space="preserve"> PAGEREF _Toc17238 \h </w:instrText>
      </w:r>
      <w:r>
        <w:rPr>
          <w:color w:val="auto"/>
          <w:highlight w:val="none"/>
        </w:rPr>
        <w:fldChar w:fldCharType="separate"/>
      </w:r>
      <w:r>
        <w:rPr>
          <w:color w:val="auto"/>
          <w:highlight w:val="none"/>
        </w:rPr>
        <w:t>4</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_Toc6616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kern w:val="2"/>
          <w:szCs w:val="24"/>
          <w:highlight w:val="none"/>
          <w:lang w:val="zh-CN"/>
        </w:rPr>
        <w:t>四、财政拨款收入支出决算总体情况说明</w:t>
      </w:r>
      <w:r>
        <w:rPr>
          <w:color w:val="auto"/>
          <w:highlight w:val="none"/>
        </w:rPr>
        <w:tab/>
      </w:r>
      <w:r>
        <w:rPr>
          <w:color w:val="auto"/>
          <w:highlight w:val="none"/>
        </w:rPr>
        <w:fldChar w:fldCharType="begin"/>
      </w:r>
      <w:r>
        <w:rPr>
          <w:color w:val="auto"/>
          <w:highlight w:val="none"/>
        </w:rPr>
        <w:instrText xml:space="preserve"> PAGEREF _Toc6616 \h </w:instrText>
      </w:r>
      <w:r>
        <w:rPr>
          <w:color w:val="auto"/>
          <w:highlight w:val="none"/>
        </w:rPr>
        <w:fldChar w:fldCharType="separate"/>
      </w:r>
      <w:r>
        <w:rPr>
          <w:color w:val="auto"/>
          <w:highlight w:val="none"/>
        </w:rPr>
        <w:t>4</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_Toc16861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kern w:val="2"/>
          <w:szCs w:val="24"/>
          <w:highlight w:val="none"/>
          <w:lang w:val="zh-CN"/>
        </w:rPr>
        <w:t>五、一般公共预算财政拨款支出决算情况说明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_Toc16861 \h </w:instrText>
      </w:r>
      <w:r>
        <w:rPr>
          <w:color w:val="auto"/>
          <w:highlight w:val="none"/>
        </w:rPr>
        <w:fldChar w:fldCharType="separate"/>
      </w:r>
      <w:r>
        <w:rPr>
          <w:color w:val="auto"/>
          <w:highlight w:val="none"/>
        </w:rPr>
        <w:t>5</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_Toc411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kern w:val="2"/>
          <w:szCs w:val="24"/>
          <w:highlight w:val="none"/>
          <w:lang w:val="zh-CN"/>
        </w:rPr>
        <w:t>六、一般公共预算财政拨款基本支出决算情况说明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_Toc411 \h </w:instrText>
      </w:r>
      <w:r>
        <w:rPr>
          <w:color w:val="auto"/>
          <w:highlight w:val="none"/>
        </w:rPr>
        <w:fldChar w:fldCharType="separate"/>
      </w:r>
      <w:r>
        <w:rPr>
          <w:color w:val="auto"/>
          <w:highlight w:val="none"/>
        </w:rPr>
        <w:t>7</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_Toc11180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kern w:val="2"/>
          <w:szCs w:val="24"/>
          <w:highlight w:val="none"/>
          <w:lang w:val="zh-CN"/>
        </w:rPr>
        <w:t>七、</w:t>
      </w:r>
      <w:r>
        <w:rPr>
          <w:rFonts w:hint="default" w:ascii="方正黑体简体" w:hAnsi="方正黑体简体" w:eastAsia="方正黑体简体" w:cs="方正黑体简体"/>
          <w:color w:val="auto"/>
          <w:kern w:val="2"/>
          <w:szCs w:val="24"/>
          <w:highlight w:val="none"/>
          <w:lang w:val="zh-CN"/>
        </w:rPr>
        <w:t>“</w:t>
      </w:r>
      <w:r>
        <w:rPr>
          <w:rFonts w:hint="eastAsia" w:ascii="方正黑体简体" w:hAnsi="方正黑体简体" w:eastAsia="方正黑体简体" w:cs="方正黑体简体"/>
          <w:color w:val="auto"/>
          <w:kern w:val="2"/>
          <w:szCs w:val="24"/>
          <w:highlight w:val="none"/>
          <w:lang w:val="zh-CN"/>
        </w:rPr>
        <w:t>三公</w:t>
      </w:r>
      <w:r>
        <w:rPr>
          <w:rFonts w:hint="default" w:ascii="方正黑体简体" w:hAnsi="方正黑体简体" w:eastAsia="方正黑体简体" w:cs="方正黑体简体"/>
          <w:color w:val="auto"/>
          <w:kern w:val="2"/>
          <w:szCs w:val="24"/>
          <w:highlight w:val="none"/>
          <w:lang w:val="zh-CN"/>
        </w:rPr>
        <w:t>”</w:t>
      </w:r>
      <w:r>
        <w:rPr>
          <w:rFonts w:hint="eastAsia" w:ascii="方正黑体简体" w:hAnsi="方正黑体简体" w:eastAsia="方正黑体简体" w:cs="方正黑体简体"/>
          <w:color w:val="auto"/>
          <w:kern w:val="2"/>
          <w:szCs w:val="24"/>
          <w:highlight w:val="none"/>
          <w:lang w:val="zh-CN"/>
        </w:rPr>
        <w:t>经费财政拨款支出决算情况说明</w:t>
      </w:r>
      <w:r>
        <w:rPr>
          <w:color w:val="auto"/>
          <w:highlight w:val="none"/>
        </w:rPr>
        <w:tab/>
      </w:r>
      <w:r>
        <w:rPr>
          <w:color w:val="auto"/>
          <w:highlight w:val="none"/>
        </w:rPr>
        <w:fldChar w:fldCharType="begin"/>
      </w:r>
      <w:r>
        <w:rPr>
          <w:color w:val="auto"/>
          <w:highlight w:val="none"/>
        </w:rPr>
        <w:instrText xml:space="preserve"> PAGEREF _Toc11180 \h </w:instrText>
      </w:r>
      <w:r>
        <w:rPr>
          <w:color w:val="auto"/>
          <w:highlight w:val="none"/>
        </w:rPr>
        <w:fldChar w:fldCharType="separate"/>
      </w:r>
      <w:r>
        <w:rPr>
          <w:color w:val="auto"/>
          <w:highlight w:val="none"/>
        </w:rPr>
        <w:t>7</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_Toc32649 </w:instrText>
      </w:r>
      <w:r>
        <w:rPr>
          <w:rFonts w:hint="eastAsia" w:ascii="仿宋_GB2312" w:hAnsi="仿宋_GB2312" w:eastAsia="仿宋_GB2312" w:cs="仿宋_GB2312"/>
          <w:color w:val="auto"/>
          <w:szCs w:val="32"/>
          <w:highlight w:val="none"/>
          <w:lang w:val="zh-CN"/>
        </w:rPr>
        <w:fldChar w:fldCharType="separate"/>
      </w:r>
      <w:r>
        <w:rPr>
          <w:rFonts w:hint="eastAsia" w:ascii="黑体" w:hAnsi="黑体" w:eastAsia="黑体"/>
          <w:color w:val="auto"/>
          <w:kern w:val="2"/>
          <w:szCs w:val="24"/>
          <w:highlight w:val="none"/>
          <w:lang w:val="zh-CN"/>
        </w:rPr>
        <w:t>八、政府性基金预算支出决算情况说明</w:t>
      </w:r>
      <w:r>
        <w:rPr>
          <w:color w:val="auto"/>
          <w:highlight w:val="none"/>
        </w:rPr>
        <w:tab/>
      </w:r>
      <w:r>
        <w:rPr>
          <w:color w:val="auto"/>
          <w:highlight w:val="none"/>
        </w:rPr>
        <w:fldChar w:fldCharType="begin"/>
      </w:r>
      <w:r>
        <w:rPr>
          <w:color w:val="auto"/>
          <w:highlight w:val="none"/>
        </w:rPr>
        <w:instrText xml:space="preserve"> PAGEREF _Toc32649 \h </w:instrText>
      </w:r>
      <w:r>
        <w:rPr>
          <w:color w:val="auto"/>
          <w:highlight w:val="none"/>
        </w:rPr>
        <w:fldChar w:fldCharType="separate"/>
      </w:r>
      <w:r>
        <w:rPr>
          <w:color w:val="auto"/>
          <w:highlight w:val="none"/>
        </w:rPr>
        <w:t>9</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_Toc9202 </w:instrText>
      </w:r>
      <w:r>
        <w:rPr>
          <w:rFonts w:hint="eastAsia" w:ascii="仿宋_GB2312" w:hAnsi="仿宋_GB2312" w:eastAsia="仿宋_GB2312" w:cs="仿宋_GB2312"/>
          <w:color w:val="auto"/>
          <w:szCs w:val="32"/>
          <w:highlight w:val="none"/>
          <w:lang w:val="zh-CN"/>
        </w:rPr>
        <w:fldChar w:fldCharType="separate"/>
      </w:r>
      <w:r>
        <w:rPr>
          <w:rFonts w:hint="eastAsia" w:ascii="黑体" w:hAnsi="黑体" w:eastAsia="黑体"/>
          <w:color w:val="auto"/>
          <w:kern w:val="2"/>
          <w:szCs w:val="24"/>
          <w:highlight w:val="none"/>
          <w:lang w:val="zh-CN"/>
        </w:rPr>
        <w:t>九、国有资本经营预算支出决算情况说明</w:t>
      </w:r>
      <w:r>
        <w:rPr>
          <w:color w:val="auto"/>
          <w:highlight w:val="none"/>
        </w:rPr>
        <w:tab/>
      </w:r>
      <w:r>
        <w:rPr>
          <w:color w:val="auto"/>
          <w:highlight w:val="none"/>
        </w:rPr>
        <w:fldChar w:fldCharType="begin"/>
      </w:r>
      <w:r>
        <w:rPr>
          <w:color w:val="auto"/>
          <w:highlight w:val="none"/>
        </w:rPr>
        <w:instrText xml:space="preserve"> PAGEREF _Toc9202 \h </w:instrText>
      </w:r>
      <w:r>
        <w:rPr>
          <w:color w:val="auto"/>
          <w:highlight w:val="none"/>
        </w:rPr>
        <w:fldChar w:fldCharType="separate"/>
      </w:r>
      <w:r>
        <w:rPr>
          <w:color w:val="auto"/>
          <w:highlight w:val="none"/>
        </w:rPr>
        <w:t>9</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6"/>
        <w:widowControl/>
        <w:shd w:val="clear" w:color="050000" w:fill="auto"/>
        <w:tabs>
          <w:tab w:val="right" w:leader="dot" w:pos="8845"/>
        </w:tabs>
        <w:wordWrap/>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_Toc21543 </w:instrText>
      </w:r>
      <w:r>
        <w:rPr>
          <w:rFonts w:hint="eastAsia" w:ascii="仿宋_GB2312" w:hAnsi="仿宋_GB2312" w:eastAsia="仿宋_GB2312" w:cs="仿宋_GB2312"/>
          <w:color w:val="auto"/>
          <w:szCs w:val="32"/>
          <w:highlight w:val="none"/>
          <w:lang w:val="zh-CN"/>
        </w:rPr>
        <w:fldChar w:fldCharType="separate"/>
      </w:r>
      <w:r>
        <w:rPr>
          <w:rFonts w:hint="eastAsia" w:ascii="黑体" w:hAnsi="黑体" w:eastAsia="黑体"/>
          <w:color w:val="auto"/>
          <w:kern w:val="2"/>
          <w:szCs w:val="24"/>
          <w:highlight w:val="none"/>
          <w:lang w:val="zh-CN"/>
        </w:rPr>
        <w:t>十、其他重要事项的情况说明</w:t>
      </w:r>
      <w:r>
        <w:rPr>
          <w:color w:val="auto"/>
          <w:highlight w:val="none"/>
        </w:rPr>
        <w:tab/>
      </w:r>
      <w:r>
        <w:rPr>
          <w:color w:val="auto"/>
          <w:highlight w:val="none"/>
        </w:rPr>
        <w:fldChar w:fldCharType="begin"/>
      </w:r>
      <w:r>
        <w:rPr>
          <w:color w:val="auto"/>
          <w:highlight w:val="none"/>
        </w:rPr>
        <w:instrText xml:space="preserve"> PAGEREF _Toc21543 \h </w:instrText>
      </w:r>
      <w:r>
        <w:rPr>
          <w:color w:val="auto"/>
          <w:highlight w:val="none"/>
        </w:rPr>
        <w:fldChar w:fldCharType="separate"/>
      </w:r>
      <w:r>
        <w:rPr>
          <w:color w:val="auto"/>
          <w:highlight w:val="none"/>
        </w:rPr>
        <w:t>9</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5"/>
        <w:widowControl/>
        <w:shd w:val="clear" w:color="050000" w:fill="auto"/>
        <w:tabs>
          <w:tab w:val="right" w:leader="dot" w:pos="8845"/>
        </w:tabs>
        <w:wordWrap/>
        <w:adjustRightInd/>
        <w:snapToGrid/>
        <w:spacing w:line="360" w:lineRule="exact"/>
        <w:textAlignment w:val="auto"/>
        <w:rPr>
          <w:b/>
          <w:color w:val="auto"/>
          <w:highlight w:val="none"/>
        </w:rPr>
      </w:pPr>
      <w:r>
        <w:rPr>
          <w:rFonts w:hint="eastAsia" w:ascii="仿宋_GB2312" w:hAnsi="仿宋_GB2312" w:eastAsia="仿宋_GB2312" w:cs="仿宋_GB2312"/>
          <w:b/>
          <w:color w:val="auto"/>
          <w:szCs w:val="32"/>
          <w:highlight w:val="none"/>
          <w:lang w:val="zh-CN"/>
        </w:rPr>
        <w:fldChar w:fldCharType="begin"/>
      </w:r>
      <w:r>
        <w:rPr>
          <w:rFonts w:hint="eastAsia" w:ascii="仿宋_GB2312" w:hAnsi="仿宋_GB2312" w:eastAsia="仿宋_GB2312" w:cs="仿宋_GB2312"/>
          <w:b/>
          <w:color w:val="auto"/>
          <w:szCs w:val="32"/>
          <w:highlight w:val="none"/>
          <w:lang w:val="zh-CN"/>
        </w:rPr>
        <w:instrText xml:space="preserve"> HYPERLINK \l _Toc13037 </w:instrText>
      </w:r>
      <w:r>
        <w:rPr>
          <w:rFonts w:hint="eastAsia" w:ascii="仿宋_GB2312" w:hAnsi="仿宋_GB2312" w:eastAsia="仿宋_GB2312" w:cs="仿宋_GB2312"/>
          <w:b/>
          <w:color w:val="auto"/>
          <w:szCs w:val="32"/>
          <w:highlight w:val="none"/>
          <w:lang w:val="zh-CN"/>
        </w:rPr>
        <w:fldChar w:fldCharType="separate"/>
      </w:r>
      <w:r>
        <w:rPr>
          <w:rFonts w:hint="eastAsia" w:ascii="方正小标宋简体" w:hAnsi="方正小标宋简体" w:eastAsia="方正小标宋简体" w:cs="方正小标宋简体"/>
          <w:b/>
          <w:color w:val="auto"/>
          <w:szCs w:val="44"/>
          <w:highlight w:val="none"/>
          <w:lang w:val="zh-CN"/>
        </w:rPr>
        <w:t>第三部分 名词解释</w:t>
      </w:r>
      <w:r>
        <w:rPr>
          <w:b/>
          <w:color w:val="auto"/>
          <w:highlight w:val="none"/>
        </w:rPr>
        <w:tab/>
      </w:r>
      <w:r>
        <w:rPr>
          <w:b/>
          <w:color w:val="auto"/>
          <w:highlight w:val="none"/>
        </w:rPr>
        <w:fldChar w:fldCharType="begin"/>
      </w:r>
      <w:r>
        <w:rPr>
          <w:b/>
          <w:color w:val="auto"/>
          <w:highlight w:val="none"/>
        </w:rPr>
        <w:instrText xml:space="preserve"> PAGEREF _Toc13037 \h </w:instrText>
      </w:r>
      <w:r>
        <w:rPr>
          <w:b/>
          <w:color w:val="auto"/>
          <w:highlight w:val="none"/>
        </w:rPr>
        <w:fldChar w:fldCharType="separate"/>
      </w:r>
      <w:r>
        <w:rPr>
          <w:b/>
          <w:color w:val="auto"/>
          <w:highlight w:val="none"/>
        </w:rPr>
        <w:t>12</w:t>
      </w:r>
      <w:r>
        <w:rPr>
          <w:b/>
          <w:color w:val="auto"/>
          <w:highlight w:val="none"/>
        </w:rPr>
        <w:fldChar w:fldCharType="end"/>
      </w:r>
      <w:r>
        <w:rPr>
          <w:rFonts w:hint="eastAsia" w:ascii="仿宋_GB2312" w:hAnsi="仿宋_GB2312" w:eastAsia="仿宋_GB2312" w:cs="仿宋_GB2312"/>
          <w:b/>
          <w:color w:val="auto"/>
          <w:szCs w:val="32"/>
          <w:highlight w:val="none"/>
          <w:lang w:val="zh-CN"/>
        </w:rPr>
        <w:fldChar w:fldCharType="end"/>
      </w:r>
    </w:p>
    <w:p>
      <w:pPr>
        <w:pStyle w:val="15"/>
        <w:widowControl/>
        <w:shd w:val="clear" w:color="050000" w:fill="auto"/>
        <w:tabs>
          <w:tab w:val="right" w:leader="dot" w:pos="8845"/>
        </w:tabs>
        <w:wordWrap/>
        <w:adjustRightInd/>
        <w:snapToGrid/>
        <w:spacing w:line="360" w:lineRule="exact"/>
        <w:textAlignment w:val="auto"/>
        <w:rPr>
          <w:b/>
          <w:color w:val="auto"/>
          <w:highlight w:val="none"/>
        </w:rPr>
      </w:pPr>
      <w:r>
        <w:rPr>
          <w:rFonts w:hint="eastAsia" w:ascii="仿宋_GB2312" w:hAnsi="仿宋_GB2312" w:eastAsia="仿宋_GB2312" w:cs="仿宋_GB2312"/>
          <w:b/>
          <w:color w:val="auto"/>
          <w:szCs w:val="32"/>
          <w:highlight w:val="none"/>
          <w:lang w:val="zh-CN"/>
        </w:rPr>
        <w:fldChar w:fldCharType="begin"/>
      </w:r>
      <w:r>
        <w:rPr>
          <w:rFonts w:hint="eastAsia" w:ascii="仿宋_GB2312" w:hAnsi="仿宋_GB2312" w:eastAsia="仿宋_GB2312" w:cs="仿宋_GB2312"/>
          <w:b/>
          <w:color w:val="auto"/>
          <w:szCs w:val="32"/>
          <w:highlight w:val="none"/>
          <w:lang w:val="zh-CN"/>
        </w:rPr>
        <w:instrText xml:space="preserve"> HYPERLINK \l _Toc12635 </w:instrText>
      </w:r>
      <w:r>
        <w:rPr>
          <w:rFonts w:hint="eastAsia" w:ascii="仿宋_GB2312" w:hAnsi="仿宋_GB2312" w:eastAsia="仿宋_GB2312" w:cs="仿宋_GB2312"/>
          <w:b/>
          <w:color w:val="auto"/>
          <w:szCs w:val="32"/>
          <w:highlight w:val="none"/>
          <w:lang w:val="zh-CN"/>
        </w:rPr>
        <w:fldChar w:fldCharType="separate"/>
      </w:r>
      <w:r>
        <w:rPr>
          <w:rFonts w:hint="eastAsia" w:ascii="黑体" w:hAnsi="黑体" w:eastAsia="黑体" w:cs="黑体"/>
          <w:b/>
          <w:color w:val="auto"/>
          <w:kern w:val="44"/>
          <w:szCs w:val="24"/>
          <w:highlight w:val="none"/>
          <w:lang w:val="en-US"/>
        </w:rPr>
        <w:t>第四部分</w:t>
      </w:r>
      <w:r>
        <w:rPr>
          <w:rFonts w:hint="eastAsia" w:ascii="黑体" w:hAnsi="黑体" w:eastAsia="黑体" w:cs="黑体"/>
          <w:b/>
          <w:color w:val="auto"/>
          <w:kern w:val="44"/>
          <w:szCs w:val="24"/>
          <w:highlight w:val="none"/>
          <w:lang w:val="en-US" w:eastAsia="zh-CN"/>
        </w:rPr>
        <w:t xml:space="preserve"> </w:t>
      </w:r>
      <w:r>
        <w:rPr>
          <w:rFonts w:hint="eastAsia" w:ascii="黑体" w:hAnsi="黑体" w:eastAsia="黑体"/>
          <w:b/>
          <w:color w:val="auto"/>
          <w:kern w:val="44"/>
          <w:szCs w:val="24"/>
          <w:highlight w:val="none"/>
          <w:lang w:val="en-US"/>
        </w:rPr>
        <w:t>附件</w:t>
      </w:r>
      <w:r>
        <w:rPr>
          <w:b/>
          <w:color w:val="auto"/>
          <w:highlight w:val="none"/>
        </w:rPr>
        <w:tab/>
      </w:r>
      <w:r>
        <w:rPr>
          <w:b/>
          <w:color w:val="auto"/>
          <w:highlight w:val="none"/>
        </w:rPr>
        <w:fldChar w:fldCharType="begin"/>
      </w:r>
      <w:r>
        <w:rPr>
          <w:b/>
          <w:color w:val="auto"/>
          <w:highlight w:val="none"/>
        </w:rPr>
        <w:instrText xml:space="preserve"> PAGEREF _Toc12635 \h </w:instrText>
      </w:r>
      <w:r>
        <w:rPr>
          <w:b/>
          <w:color w:val="auto"/>
          <w:highlight w:val="none"/>
        </w:rPr>
        <w:fldChar w:fldCharType="separate"/>
      </w:r>
      <w:r>
        <w:rPr>
          <w:b/>
          <w:color w:val="auto"/>
          <w:highlight w:val="none"/>
        </w:rPr>
        <w:t>15</w:t>
      </w:r>
      <w:r>
        <w:rPr>
          <w:b/>
          <w:color w:val="auto"/>
          <w:highlight w:val="none"/>
        </w:rPr>
        <w:fldChar w:fldCharType="end"/>
      </w:r>
      <w:r>
        <w:rPr>
          <w:rFonts w:hint="eastAsia" w:ascii="仿宋_GB2312" w:hAnsi="仿宋_GB2312" w:eastAsia="仿宋_GB2312" w:cs="仿宋_GB2312"/>
          <w:b/>
          <w:color w:val="auto"/>
          <w:szCs w:val="32"/>
          <w:highlight w:val="none"/>
          <w:lang w:val="zh-CN"/>
        </w:rPr>
        <w:fldChar w:fldCharType="end"/>
      </w:r>
    </w:p>
    <w:p>
      <w:pPr>
        <w:pStyle w:val="15"/>
        <w:widowControl/>
        <w:shd w:val="clear" w:color="050000" w:fill="auto"/>
        <w:tabs>
          <w:tab w:val="right" w:leader="dot" w:pos="8845"/>
        </w:tabs>
        <w:wordWrap/>
        <w:adjustRightInd/>
        <w:snapToGrid/>
        <w:spacing w:line="360" w:lineRule="exact"/>
        <w:textAlignment w:val="auto"/>
        <w:rPr>
          <w:rFonts w:hint="eastAsia" w:eastAsia="仿宋_GB2312"/>
          <w:b/>
          <w:color w:val="auto"/>
          <w:highlight w:val="none"/>
          <w:lang w:val="en-US" w:eastAsia="zh-CN"/>
        </w:rPr>
      </w:pPr>
      <w:r>
        <w:rPr>
          <w:rFonts w:hint="eastAsia" w:ascii="仿宋_GB2312" w:hAnsi="仿宋_GB2312" w:eastAsia="仿宋_GB2312" w:cs="仿宋_GB2312"/>
          <w:b/>
          <w:color w:val="auto"/>
          <w:szCs w:val="32"/>
          <w:highlight w:val="none"/>
          <w:lang w:val="zh-CN"/>
        </w:rPr>
        <w:fldChar w:fldCharType="begin"/>
      </w:r>
      <w:r>
        <w:rPr>
          <w:rFonts w:hint="eastAsia" w:ascii="仿宋_GB2312" w:hAnsi="仿宋_GB2312" w:eastAsia="仿宋_GB2312" w:cs="仿宋_GB2312"/>
          <w:b/>
          <w:color w:val="auto"/>
          <w:szCs w:val="32"/>
          <w:highlight w:val="none"/>
          <w:lang w:val="zh-CN"/>
        </w:rPr>
        <w:instrText xml:space="preserve"> HYPERLINK \l _Toc21540 </w:instrText>
      </w:r>
      <w:r>
        <w:rPr>
          <w:rFonts w:hint="eastAsia" w:ascii="仿宋_GB2312" w:hAnsi="仿宋_GB2312" w:eastAsia="仿宋_GB2312" w:cs="仿宋_GB2312"/>
          <w:b/>
          <w:color w:val="auto"/>
          <w:szCs w:val="32"/>
          <w:highlight w:val="none"/>
          <w:lang w:val="zh-CN"/>
        </w:rPr>
        <w:fldChar w:fldCharType="separate"/>
      </w:r>
      <w:r>
        <w:rPr>
          <w:rFonts w:hint="eastAsia" w:ascii="黑体" w:hAnsi="黑体" w:eastAsia="黑体"/>
          <w:b/>
          <w:color w:val="auto"/>
          <w:kern w:val="2"/>
          <w:szCs w:val="24"/>
          <w:highlight w:val="none"/>
          <w:lang w:val="en-US"/>
        </w:rPr>
        <w:t>第</w:t>
      </w:r>
      <w:r>
        <w:rPr>
          <w:rFonts w:hint="eastAsia" w:ascii="黑体" w:hAnsi="黑体" w:eastAsia="黑体"/>
          <w:b/>
          <w:color w:val="auto"/>
          <w:kern w:val="44"/>
          <w:szCs w:val="24"/>
          <w:highlight w:val="none"/>
          <w:lang w:val="en-US"/>
        </w:rPr>
        <w:t>五部分 附表</w:t>
      </w:r>
      <w:r>
        <w:rPr>
          <w:b/>
          <w:color w:val="auto"/>
          <w:highlight w:val="none"/>
        </w:rPr>
        <w:tab/>
      </w:r>
      <w:r>
        <w:rPr>
          <w:rFonts w:hint="eastAsia"/>
          <w:b/>
          <w:color w:val="auto"/>
          <w:highlight w:val="none"/>
          <w:lang w:val="en-US" w:eastAsia="zh-CN"/>
        </w:rPr>
        <w:t>6</w:t>
      </w:r>
      <w:r>
        <w:rPr>
          <w:rFonts w:hint="eastAsia" w:ascii="仿宋_GB2312" w:hAnsi="仿宋_GB2312" w:eastAsia="仿宋_GB2312" w:cs="仿宋_GB2312"/>
          <w:b/>
          <w:color w:val="auto"/>
          <w:szCs w:val="32"/>
          <w:highlight w:val="none"/>
          <w:lang w:val="zh-CN"/>
        </w:rPr>
        <w:fldChar w:fldCharType="end"/>
      </w:r>
      <w:r>
        <w:rPr>
          <w:rFonts w:hint="eastAsia" w:ascii="仿宋_GB2312" w:hAnsi="仿宋_GB2312" w:eastAsia="仿宋_GB2312" w:cs="仿宋_GB2312"/>
          <w:b/>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_Toc9687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一、收入支出决算总表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_Toc14058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二、收入决算表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_Toc23199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三、支出决算表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_Toc28264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四、财政拨款收入支出决算总表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_Toc27460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五、财政拨款支出决算明细表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_Toc27963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六、一般公共预算财政拨款支出决算表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_Toc23074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七、一般公共预算财政拨款支出决算明细表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_Toc26043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八、一般公共预算财政拨款基本支出决算表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_Toc3059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九、一般公共预算财政拨款项目支出决算表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_Toc15989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十、政府性基金预算财政拨款收入支出决算表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_Toc30435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十一、国有资本经营预算财政拨款收入支出决算表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_Toc24427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十二、国有资本经营预算财政拨款支出决算表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6"/>
        <w:widowControl/>
        <w:shd w:val="clear" w:color="050000" w:fill="auto"/>
        <w:tabs>
          <w:tab w:val="right" w:leader="dot" w:pos="8845"/>
        </w:tabs>
        <w:wordWrap/>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_Toc11085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十三、财政拨款</w:t>
      </w:r>
      <w:r>
        <w:rPr>
          <w:rFonts w:hint="default" w:ascii="仿宋" w:hAnsi="仿宋" w:eastAsia="仿宋"/>
          <w:color w:val="auto"/>
          <w:kern w:val="2"/>
          <w:szCs w:val="24"/>
          <w:highlight w:val="none"/>
          <w:lang w:val="en-US"/>
        </w:rPr>
        <w:t>“</w:t>
      </w:r>
      <w:r>
        <w:rPr>
          <w:rFonts w:hint="eastAsia" w:ascii="仿宋" w:hAnsi="仿宋" w:eastAsia="仿宋"/>
          <w:color w:val="auto"/>
          <w:kern w:val="2"/>
          <w:szCs w:val="24"/>
          <w:highlight w:val="none"/>
          <w:lang w:val="en-US"/>
        </w:rPr>
        <w:t>三公</w:t>
      </w:r>
      <w:r>
        <w:rPr>
          <w:rFonts w:hint="default" w:ascii="仿宋" w:hAnsi="仿宋" w:eastAsia="仿宋"/>
          <w:color w:val="auto"/>
          <w:kern w:val="2"/>
          <w:szCs w:val="24"/>
          <w:highlight w:val="none"/>
          <w:lang w:val="en-US"/>
        </w:rPr>
        <w:t>”</w:t>
      </w:r>
      <w:r>
        <w:rPr>
          <w:rFonts w:hint="eastAsia" w:ascii="仿宋" w:hAnsi="仿宋" w:eastAsia="仿宋"/>
          <w:color w:val="auto"/>
          <w:kern w:val="2"/>
          <w:szCs w:val="24"/>
          <w:highlight w:val="none"/>
          <w:lang w:val="en-US"/>
        </w:rPr>
        <w:t>经费支出决算表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widowControl w:val="0"/>
        <w:shd w:val="clear" w:color="040000" w:fill="auto"/>
        <w:wordWrap/>
        <w:autoSpaceDE w:val="0"/>
        <w:autoSpaceDN w:val="0"/>
        <w:adjustRightInd w:val="0"/>
        <w:snapToGrid/>
        <w:spacing w:line="576" w:lineRule="exact"/>
        <w:textAlignment w:val="auto"/>
        <w:rPr>
          <w:rFonts w:hint="eastAsia" w:ascii="仿宋_GB2312" w:hAnsi="仿宋_GB2312" w:eastAsia="仿宋_GB2312" w:cs="仿宋_GB2312"/>
          <w:b/>
          <w:color w:val="auto"/>
          <w:szCs w:val="32"/>
          <w:highlight w:val="none"/>
          <w:lang w:val="zh-CN"/>
        </w:rPr>
        <w:sectPr>
          <w:footerReference r:id="rId6" w:type="default"/>
          <w:pgSz w:w="11906" w:h="16838"/>
          <w:pgMar w:top="2098" w:right="1474" w:bottom="1474" w:left="1587" w:header="851" w:footer="1020" w:gutter="0"/>
          <w:pgNumType w:fmt="decimal" w:start="1"/>
          <w:cols w:space="720" w:num="1"/>
          <w:rtlGutter w:val="0"/>
          <w:docGrid w:type="lines" w:linePitch="435" w:charSpace="0"/>
        </w:sectPr>
      </w:pPr>
      <w:r>
        <w:rPr>
          <w:rFonts w:hint="eastAsia" w:ascii="仿宋_GB2312" w:hAnsi="仿宋_GB2312" w:eastAsia="仿宋_GB2312" w:cs="仿宋_GB2312"/>
          <w:b/>
          <w:color w:val="auto"/>
          <w:szCs w:val="32"/>
          <w:highlight w:val="none"/>
          <w:lang w:val="zh-CN"/>
        </w:rPr>
        <w:fldChar w:fldCharType="end"/>
      </w:r>
    </w:p>
    <w:p>
      <w:pPr>
        <w:widowControl w:val="0"/>
        <w:shd w:val="clear" w:color="040000" w:fill="auto"/>
        <w:wordWrap/>
        <w:autoSpaceDE w:val="0"/>
        <w:autoSpaceDN w:val="0"/>
        <w:adjustRightInd w:val="0"/>
        <w:snapToGrid/>
        <w:spacing w:line="576" w:lineRule="exact"/>
        <w:textAlignment w:val="auto"/>
        <w:rPr>
          <w:rFonts w:hint="eastAsia"/>
          <w:color w:val="auto"/>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val="zh-CN"/>
        </w:rPr>
      </w:pPr>
      <w:bookmarkStart w:id="1" w:name="_Toc16362"/>
      <w:r>
        <w:rPr>
          <w:rFonts w:hint="eastAsia" w:ascii="方正小标宋简体" w:hAnsi="方正小标宋简体" w:eastAsia="方正小标宋简体" w:cs="方正小标宋简体"/>
          <w:color w:val="auto"/>
          <w:sz w:val="44"/>
          <w:szCs w:val="44"/>
          <w:highlight w:val="none"/>
          <w:lang w:val="zh-CN"/>
        </w:rPr>
        <w:t>第一部分 部门概况</w:t>
      </w:r>
      <w:bookmarkEnd w:id="1"/>
    </w:p>
    <w:p>
      <w:pPr>
        <w:widowControl w:val="0"/>
        <w:shd w:val="clear" w:color="040000" w:fill="auto"/>
        <w:wordWrap/>
        <w:autoSpaceDE w:val="0"/>
        <w:autoSpaceDN w:val="0"/>
        <w:adjustRightInd w:val="0"/>
        <w:snapToGrid/>
        <w:spacing w:line="576" w:lineRule="exact"/>
        <w:ind w:firstLine="640" w:firstLineChars="200"/>
        <w:textAlignment w:val="auto"/>
        <w:rPr>
          <w:rFonts w:hint="eastAsia" w:ascii="方正黑体简体" w:hAnsi="方正黑体简体" w:eastAsia="方正黑体简体" w:cs="方正黑体简体"/>
          <w:color w:val="auto"/>
          <w:sz w:val="32"/>
          <w:szCs w:val="32"/>
          <w:highlight w:val="none"/>
          <w:lang w:val="zh-CN"/>
        </w:rPr>
      </w:pPr>
    </w:p>
    <w:p>
      <w:pPr>
        <w:widowControl w:val="0"/>
        <w:shd w:val="clear" w:color="040000" w:fill="auto"/>
        <w:wordWrap/>
        <w:autoSpaceDE w:val="0"/>
        <w:autoSpaceDN w:val="0"/>
        <w:adjustRightInd w:val="0"/>
        <w:snapToGrid/>
        <w:spacing w:line="576" w:lineRule="exact"/>
        <w:ind w:firstLine="640" w:firstLineChars="200"/>
        <w:textAlignment w:val="auto"/>
        <w:outlineLvl w:val="1"/>
        <w:rPr>
          <w:rFonts w:hint="eastAsia" w:ascii="方正黑体简体" w:hAnsi="方正黑体简体" w:eastAsia="方正黑体简体" w:cs="方正黑体简体"/>
          <w:color w:val="auto"/>
          <w:sz w:val="32"/>
          <w:szCs w:val="32"/>
          <w:highlight w:val="none"/>
          <w:lang w:val="zh-CN"/>
        </w:rPr>
      </w:pPr>
      <w:bookmarkStart w:id="2" w:name="_Toc24412"/>
      <w:r>
        <w:rPr>
          <w:rFonts w:hint="eastAsia" w:ascii="方正黑体简体" w:hAnsi="方正黑体简体" w:eastAsia="方正黑体简体" w:cs="方正黑体简体"/>
          <w:color w:val="auto"/>
          <w:sz w:val="32"/>
          <w:szCs w:val="32"/>
          <w:highlight w:val="none"/>
          <w:lang w:val="zh-CN"/>
        </w:rPr>
        <w:t>一、部门职责</w:t>
      </w:r>
      <w:bookmarkEnd w:id="2"/>
    </w:p>
    <w:p>
      <w:pPr>
        <w:widowControl w:val="0"/>
        <w:shd w:val="clear" w:color="040000" w:fill="auto"/>
        <w:wordWrap/>
        <w:autoSpaceDE w:val="0"/>
        <w:autoSpaceDN w:val="0"/>
        <w:adjustRightInd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（一）管理职能。</w:t>
      </w:r>
      <w:r>
        <w:rPr>
          <w:rFonts w:hint="eastAsia" w:ascii="仿宋_GB2312" w:hAnsi="仿宋_GB2312" w:eastAsia="仿宋_GB2312" w:cs="仿宋_GB2312"/>
          <w:color w:val="auto"/>
          <w:sz w:val="32"/>
          <w:szCs w:val="32"/>
          <w:highlight w:val="none"/>
          <w:lang w:val="en-US" w:eastAsia="zh-CN"/>
        </w:rPr>
        <w:t>负责城乡环境综合治理、爱国卫生、生活垃圾分类等管理；牵头负责上西火车站站前综合管理；负责路标路牌、报刊电话亭、公交站牌、非机动车停放点、户外广告和店招店牌设置，临时占用城市道路等许可。</w:t>
      </w:r>
    </w:p>
    <w:p>
      <w:pPr>
        <w:widowControl w:val="0"/>
        <w:shd w:val="clear" w:color="040000" w:fill="auto"/>
        <w:wordWrap/>
        <w:autoSpaceDE w:val="0"/>
        <w:autoSpaceDN w:val="0"/>
        <w:adjustRightInd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en-US" w:eastAsia="zh-CN"/>
        </w:rPr>
        <w:t>（二）执法职能。</w:t>
      </w:r>
      <w:r>
        <w:rPr>
          <w:rFonts w:hint="eastAsia" w:ascii="仿宋_GB2312" w:hAnsi="仿宋_GB2312" w:eastAsia="仿宋_GB2312" w:cs="仿宋_GB2312"/>
          <w:color w:val="auto"/>
          <w:sz w:val="32"/>
          <w:szCs w:val="32"/>
          <w:highlight w:val="none"/>
          <w:lang w:val="en-US" w:eastAsia="zh-CN"/>
        </w:rPr>
        <w:t>行使住房城乡建设领域法律、法规、规章规定的全部行政处罚权；行使市容环境方面的全部行政处罚权；行使环境保护管理方面建筑施工扬尘、噪声污染，社会生活噪声污染等法律、法规、规章规定的部分行政处罚权；行使市场监督管理方面法律、法规、规章规定的对无固定经营场所的无照商贩、场外（店外）无证饮食摊点的行政处罚权；行使公安交通管理方面法律、法规、规章规定的对违法停放车辆、侵占城市道路行为的行政处罚权；行使公安治安管理方面法律、法规、规章规定的对违反犬只管理的行政处罚权。</w:t>
      </w:r>
    </w:p>
    <w:p>
      <w:pPr>
        <w:widowControl w:val="0"/>
        <w:shd w:val="clear" w:color="040000" w:fill="auto"/>
        <w:wordWrap/>
        <w:autoSpaceDE w:val="0"/>
        <w:autoSpaceDN w:val="0"/>
        <w:adjustRightInd w:val="0"/>
        <w:snapToGrid/>
        <w:spacing w:line="576" w:lineRule="exact"/>
        <w:ind w:firstLine="640" w:firstLineChars="200"/>
        <w:textAlignment w:val="auto"/>
        <w:outlineLvl w:val="1"/>
        <w:rPr>
          <w:rFonts w:hint="eastAsia" w:ascii="方正黑体简体" w:hAnsi="方正黑体简体" w:eastAsia="方正黑体简体" w:cs="方正黑体简体"/>
          <w:color w:val="auto"/>
          <w:sz w:val="32"/>
          <w:szCs w:val="32"/>
          <w:highlight w:val="none"/>
          <w:lang w:val="zh-CN"/>
        </w:rPr>
      </w:pPr>
      <w:bookmarkStart w:id="3" w:name="_Toc25648"/>
      <w:r>
        <w:rPr>
          <w:rFonts w:hint="eastAsia" w:ascii="方正黑体简体" w:hAnsi="方正黑体简体" w:eastAsia="方正黑体简体" w:cs="方正黑体简体"/>
          <w:color w:val="auto"/>
          <w:sz w:val="32"/>
          <w:szCs w:val="32"/>
          <w:highlight w:val="none"/>
          <w:lang w:val="zh-CN"/>
        </w:rPr>
        <w:t>二、机构设置</w:t>
      </w:r>
      <w:bookmarkEnd w:id="3"/>
    </w:p>
    <w:p>
      <w:pPr>
        <w:widowControl w:val="0"/>
        <w:shd w:val="clear" w:color="040000" w:fill="auto"/>
        <w:wordWrap/>
        <w:autoSpaceDE w:val="0"/>
        <w:autoSpaceDN w:val="0"/>
        <w:adjustRightInd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4" w:name="_Toc31576"/>
      <w:r>
        <w:rPr>
          <w:rFonts w:hint="eastAsia" w:ascii="仿宋_GB2312" w:hAnsi="仿宋_GB2312" w:eastAsia="仿宋_GB2312" w:cs="仿宋_GB2312"/>
          <w:color w:val="auto"/>
          <w:sz w:val="32"/>
          <w:szCs w:val="32"/>
          <w:highlight w:val="none"/>
        </w:rPr>
        <w:t>广元市城市管理行政执法局下属行政单位1个（含3个财务统管事业单位），其他事业单位1个。主要包括：广元市城市管理行政执法局（本级）、广元市生活垃圾分类中心。</w:t>
      </w:r>
    </w:p>
    <w:p>
      <w:pPr>
        <w:widowControl w:val="0"/>
        <w:shd w:val="clear" w:color="040000" w:fill="auto"/>
        <w:wordWrap/>
        <w:autoSpaceDE w:val="0"/>
        <w:autoSpaceDN w:val="0"/>
        <w:adjustRightInd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纳入广元市城市管理行政执法局（本级）202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年度部门决算编制范围的非独立预算单位包括：广元市城市管理行政执法局机关、广元市城市管理行政执法支队、广元市城市管理宣传监测中心、火车站站前管理事务中心</w:t>
      </w:r>
      <w:r>
        <w:rPr>
          <w:rFonts w:hint="eastAsia" w:ascii="仿宋_GB2312" w:hAnsi="仿宋_GB2312" w:eastAsia="仿宋_GB2312" w:cs="仿宋_GB2312"/>
          <w:color w:val="auto"/>
          <w:sz w:val="32"/>
          <w:szCs w:val="32"/>
          <w:highlight w:val="none"/>
          <w:lang w:eastAsia="zh-CN"/>
        </w:rPr>
        <w:t>。</w:t>
      </w:r>
    </w:p>
    <w:p>
      <w:pPr>
        <w:widowControl w:val="0"/>
        <w:shd w:val="clear" w:color="040000" w:fill="auto"/>
        <w:wordWrap/>
        <w:autoSpaceDE w:val="0"/>
        <w:autoSpaceDN w:val="0"/>
        <w:adjustRightInd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纳入市城管执法局202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年度部门决算编制范围的二级</w:t>
      </w:r>
      <w:r>
        <w:rPr>
          <w:rFonts w:hint="eastAsia" w:ascii="仿宋_GB2312" w:hAnsi="仿宋_GB2312" w:eastAsia="仿宋_GB2312" w:cs="仿宋_GB2312"/>
          <w:color w:val="auto"/>
          <w:sz w:val="32"/>
          <w:szCs w:val="32"/>
          <w:highlight w:val="none"/>
          <w:lang w:val="en-US" w:eastAsia="zh-CN"/>
        </w:rPr>
        <w:t>独立</w:t>
      </w:r>
      <w:r>
        <w:rPr>
          <w:rFonts w:hint="eastAsia" w:ascii="仿宋_GB2312" w:hAnsi="仿宋_GB2312" w:eastAsia="仿宋_GB2312" w:cs="仿宋_GB2312"/>
          <w:color w:val="auto"/>
          <w:sz w:val="32"/>
          <w:szCs w:val="32"/>
          <w:highlight w:val="none"/>
        </w:rPr>
        <w:t>预算单位包括：广元</w:t>
      </w:r>
      <w:r>
        <w:rPr>
          <w:rFonts w:hint="eastAsia" w:ascii="仿宋_GB2312" w:hAnsi="仿宋_GB2312" w:eastAsia="仿宋_GB2312" w:cs="仿宋_GB2312"/>
          <w:color w:val="auto"/>
          <w:sz w:val="32"/>
          <w:szCs w:val="32"/>
          <w:highlight w:val="none"/>
          <w:lang w:val="en-US" w:eastAsia="zh-CN"/>
        </w:rPr>
        <w:t>市生活垃圾分类中心。</w:t>
      </w:r>
    </w:p>
    <w:bookmarkEnd w:id="4"/>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val="zh-CN"/>
        </w:rPr>
      </w:pPr>
      <w:bookmarkStart w:id="5" w:name="_Toc21545"/>
      <w:r>
        <w:rPr>
          <w:rFonts w:hint="eastAsia" w:ascii="方正小标宋简体" w:hAnsi="方正小标宋简体" w:eastAsia="方正小标宋简体" w:cs="方正小标宋简体"/>
          <w:color w:val="auto"/>
          <w:sz w:val="44"/>
          <w:szCs w:val="44"/>
          <w:highlight w:val="none"/>
          <w:lang w:val="zh-CN"/>
        </w:rPr>
        <w:t>第二部分 2022年度部门决算情况说明</w:t>
      </w:r>
      <w:bookmarkEnd w:id="5"/>
    </w:p>
    <w:p>
      <w:pPr>
        <w:widowControl w:val="0"/>
        <w:shd w:val="clear" w:color="040000" w:fill="auto"/>
        <w:wordWrap/>
        <w:autoSpaceDE w:val="0"/>
        <w:autoSpaceDN w:val="0"/>
        <w:adjustRightInd w:val="0"/>
        <w:snapToGrid/>
        <w:spacing w:line="510" w:lineRule="exact"/>
        <w:ind w:left="0" w:leftChars="0" w:right="0" w:firstLine="113" w:firstLineChars="0"/>
        <w:jc w:val="left"/>
        <w:textAlignment w:val="auto"/>
        <w:outlineLvl w:val="1"/>
        <w:rPr>
          <w:rFonts w:hint="eastAsia" w:ascii="黑体" w:hAnsi="黑体" w:eastAsia="黑体"/>
          <w:color w:val="auto"/>
          <w:kern w:val="2"/>
          <w:sz w:val="32"/>
          <w:szCs w:val="24"/>
          <w:highlight w:val="none"/>
          <w:lang w:val="zh-CN"/>
        </w:rPr>
      </w:pPr>
      <w:bookmarkStart w:id="6" w:name="_Toc20752"/>
      <w:r>
        <w:rPr>
          <w:rFonts w:hint="eastAsia" w:ascii="黑体" w:hAnsi="黑体" w:eastAsia="黑体"/>
          <w:color w:val="auto"/>
          <w:kern w:val="2"/>
          <w:sz w:val="32"/>
          <w:szCs w:val="24"/>
          <w:highlight w:val="none"/>
          <w:lang w:val="zh-CN"/>
        </w:rPr>
        <w:t>一、收入支出决算总体情况说明</w:t>
      </w:r>
      <w:bookmarkEnd w:id="6"/>
    </w:p>
    <w:p>
      <w:pPr>
        <w:widowControl w:val="0"/>
        <w:shd w:val="clear" w:color="040000" w:fill="auto"/>
        <w:wordWrap/>
        <w:autoSpaceDE w:val="0"/>
        <w:autoSpaceDN w:val="0"/>
        <w:adjustRightInd w:val="0"/>
        <w:snapToGrid/>
        <w:spacing w:line="510" w:lineRule="exact"/>
        <w:ind w:left="0" w:leftChars="0" w:right="0" w:firstLine="790" w:firstLineChars="247"/>
        <w:jc w:val="left"/>
        <w:textAlignment w:val="auto"/>
        <w:rPr>
          <w:rFonts w:hint="eastAsia"/>
          <w:color w:val="auto"/>
          <w:highlight w:val="none"/>
          <w:lang w:val="en-US" w:eastAsia="zh-CN"/>
        </w:rPr>
      </w:pPr>
      <w:r>
        <w:rPr>
          <w:rFonts w:hint="eastAsia" w:ascii="仿宋_GB2312" w:hAnsi="仿宋_GB2312" w:eastAsia="仿宋_GB2312"/>
          <w:color w:val="auto"/>
          <w:kern w:val="2"/>
          <w:sz w:val="32"/>
          <w:szCs w:val="24"/>
          <w:highlight w:val="none"/>
          <w:lang w:val="zh-CN"/>
        </w:rPr>
        <w:t>2022年度收、支总计9,218.15万元。与2021年相比，收、支总计各增加3,508.28万元，增长61.4</w:t>
      </w:r>
      <w:r>
        <w:rPr>
          <w:rFonts w:hint="eastAsia" w:ascii="仿宋_GB2312" w:hAnsi="仿宋_GB2312" w:eastAsia="仿宋_GB2312"/>
          <w:color w:val="auto"/>
          <w:kern w:val="2"/>
          <w:sz w:val="32"/>
          <w:szCs w:val="24"/>
          <w:highlight w:val="none"/>
          <w:lang w:val="en-US" w:eastAsia="zh-CN"/>
        </w:rPr>
        <w:t>4</w:t>
      </w:r>
      <w:r>
        <w:rPr>
          <w:rFonts w:hint="eastAsia" w:ascii="仿宋_GB2312" w:hAnsi="仿宋_GB2312" w:eastAsia="仿宋_GB2312"/>
          <w:color w:val="auto"/>
          <w:kern w:val="2"/>
          <w:sz w:val="32"/>
          <w:szCs w:val="24"/>
          <w:highlight w:val="none"/>
          <w:lang w:val="zh-CN"/>
        </w:rPr>
        <w:t>%。主要变动原因：一是人员增加，人员经费增加；二是市城区生活垃圾分类服务项目经费增加。</w:t>
      </w:r>
    </w:p>
    <w:p>
      <w:pPr>
        <w:keepNext/>
        <w:keepLines/>
        <w:shd w:val="clear" w:color="020000" w:fill="auto"/>
        <w:spacing w:beforeLines="0" w:afterLines="0" w:line="576" w:lineRule="exact"/>
        <w:ind w:firstLine="640"/>
        <w:jc w:val="both"/>
        <w:rPr>
          <w:rFonts w:hint="eastAsia"/>
          <w:color w:val="auto"/>
          <w:highlight w:val="none"/>
          <w:lang w:val="en-US" w:eastAsia="zh-CN"/>
        </w:rPr>
      </w:pPr>
      <w:r>
        <w:rPr>
          <w:rFonts w:hint="eastAsia" w:ascii="Calibri" w:hAnsi="Calibri" w:eastAsia="宋体" w:cs="黑体"/>
          <w:color w:val="auto"/>
          <w:sz w:val="24"/>
          <w:szCs w:val="24"/>
          <w:highlight w:val="none"/>
          <w:lang w:val="en-US" w:eastAsia="zh-CN" w:bidi="ar-SA"/>
        </w:rPr>
        <w:pict>
          <v:shape id="图表 1" o:spid="_x0000_s1027" type="#_x0000_t75" style="position:absolute;left:0;margin-left:16.3pt;margin-top:4.8pt;height:173.95pt;width:398.85pt;rotation:0f;z-index:251658240;"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keepNext/>
        <w:keepLines/>
        <w:shd w:val="clear" w:color="020000" w:fill="auto"/>
        <w:spacing w:beforeLines="0" w:afterLines="0" w:line="576" w:lineRule="exact"/>
        <w:ind w:firstLine="640"/>
        <w:jc w:val="both"/>
        <w:rPr>
          <w:rFonts w:hint="eastAsia"/>
          <w:color w:val="auto"/>
          <w:highlight w:val="none"/>
          <w:lang w:val="en-US" w:eastAsia="zh-CN"/>
        </w:rPr>
      </w:pPr>
    </w:p>
    <w:p>
      <w:pPr>
        <w:keepNext/>
        <w:keepLines/>
        <w:shd w:val="clear" w:color="020000" w:fill="auto"/>
        <w:spacing w:beforeLines="0" w:afterLines="0" w:line="576" w:lineRule="exact"/>
        <w:ind w:firstLine="640"/>
        <w:jc w:val="both"/>
        <w:rPr>
          <w:rFonts w:hint="eastAsia"/>
          <w:color w:val="auto"/>
          <w:highlight w:val="none"/>
          <w:lang w:val="en-US" w:eastAsia="zh-CN"/>
        </w:rPr>
      </w:pPr>
    </w:p>
    <w:p>
      <w:pPr>
        <w:keepNext/>
        <w:keepLines/>
        <w:shd w:val="clear" w:color="020000" w:fill="auto"/>
        <w:spacing w:beforeLines="0" w:afterLines="0" w:line="576" w:lineRule="exact"/>
        <w:ind w:firstLine="640"/>
        <w:jc w:val="both"/>
        <w:rPr>
          <w:rFonts w:hint="eastAsia"/>
          <w:color w:val="auto"/>
          <w:highlight w:val="none"/>
          <w:lang w:val="en-US" w:eastAsia="zh-CN"/>
        </w:rPr>
      </w:pPr>
    </w:p>
    <w:p>
      <w:pPr>
        <w:keepNext/>
        <w:keepLines/>
        <w:shd w:val="clear" w:color="020000" w:fill="auto"/>
        <w:spacing w:beforeLines="0" w:afterLines="0" w:line="576" w:lineRule="exact"/>
        <w:ind w:firstLine="640"/>
        <w:jc w:val="both"/>
        <w:rPr>
          <w:rFonts w:hint="eastAsia"/>
          <w:color w:val="auto"/>
          <w:highlight w:val="none"/>
          <w:lang w:val="en-US" w:eastAsia="zh-CN"/>
        </w:rPr>
      </w:pPr>
    </w:p>
    <w:p>
      <w:pPr>
        <w:keepNext/>
        <w:keepLines/>
        <w:shd w:val="clear" w:color="020000" w:fill="auto"/>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color="020000" w:fill="auto"/>
        <w:spacing w:beforeLines="0" w:afterLines="0" w:line="576" w:lineRule="exact"/>
        <w:ind w:firstLine="640"/>
        <w:jc w:val="both"/>
        <w:outlineLvl w:val="1"/>
        <w:rPr>
          <w:rFonts w:hint="eastAsia" w:ascii="黑体" w:hAnsi="黑体" w:eastAsia="黑体"/>
          <w:color w:val="auto"/>
          <w:kern w:val="2"/>
          <w:sz w:val="32"/>
          <w:szCs w:val="24"/>
          <w:highlight w:val="none"/>
          <w:lang w:val="zh-CN"/>
        </w:rPr>
      </w:pPr>
      <w:bookmarkStart w:id="7" w:name="_Toc23379"/>
      <w:r>
        <w:rPr>
          <w:rFonts w:hint="eastAsia" w:ascii="黑体" w:hAnsi="黑体" w:eastAsia="黑体"/>
          <w:color w:val="auto"/>
          <w:kern w:val="2"/>
          <w:sz w:val="32"/>
          <w:szCs w:val="24"/>
          <w:highlight w:val="none"/>
          <w:lang w:val="zh-CN"/>
        </w:rPr>
        <w:t>二、收入决算情况说明</w:t>
      </w:r>
      <w:bookmarkEnd w:id="7"/>
    </w:p>
    <w:p>
      <w:pPr>
        <w:keepNext/>
        <w:keepLines/>
        <w:shd w:val="clear" w:color="020000" w:fill="auto"/>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2022年本年收入合计7,765.84万元，其中：一般公共预算财政拨款收入7,741.27万元，占99.</w:t>
      </w:r>
      <w:r>
        <w:rPr>
          <w:rFonts w:hint="eastAsia" w:ascii="仿宋_GB2312" w:hAnsi="仿宋_GB2312" w:eastAsia="仿宋_GB2312"/>
          <w:color w:val="auto"/>
          <w:kern w:val="2"/>
          <w:sz w:val="32"/>
          <w:szCs w:val="24"/>
          <w:highlight w:val="none"/>
          <w:lang w:val="en-US" w:eastAsia="zh-CN"/>
        </w:rPr>
        <w:t>68</w:t>
      </w:r>
      <w:r>
        <w:rPr>
          <w:rFonts w:hint="eastAsia" w:ascii="仿宋_GB2312" w:hAnsi="仿宋_GB2312" w:eastAsia="仿宋_GB2312"/>
          <w:color w:val="auto"/>
          <w:kern w:val="2"/>
          <w:sz w:val="32"/>
          <w:szCs w:val="24"/>
          <w:highlight w:val="none"/>
          <w:lang w:val="zh-CN"/>
        </w:rPr>
        <w:t>%；政府性基金预算财政拨款收入7.5万元，占0.</w:t>
      </w:r>
      <w:r>
        <w:rPr>
          <w:rFonts w:hint="eastAsia" w:ascii="仿宋_GB2312" w:hAnsi="仿宋_GB2312" w:eastAsia="仿宋_GB2312"/>
          <w:color w:val="auto"/>
          <w:kern w:val="2"/>
          <w:sz w:val="32"/>
          <w:szCs w:val="24"/>
          <w:highlight w:val="none"/>
          <w:lang w:val="en-US" w:eastAsia="zh-CN"/>
        </w:rPr>
        <w:t>1；</w:t>
      </w:r>
      <w:r>
        <w:rPr>
          <w:rFonts w:hint="eastAsia" w:ascii="仿宋_GB2312" w:hAnsi="仿宋_GB2312" w:eastAsia="仿宋_GB2312"/>
          <w:color w:val="auto"/>
          <w:kern w:val="2"/>
          <w:sz w:val="32"/>
          <w:szCs w:val="24"/>
          <w:highlight w:val="none"/>
          <w:lang w:val="zh-CN"/>
        </w:rPr>
        <w:t>其他收入17.07万元，占0.2</w:t>
      </w:r>
      <w:r>
        <w:rPr>
          <w:rFonts w:hint="eastAsia" w:ascii="仿宋_GB2312" w:hAnsi="仿宋_GB2312" w:eastAsia="仿宋_GB2312"/>
          <w:color w:val="auto"/>
          <w:kern w:val="2"/>
          <w:sz w:val="32"/>
          <w:szCs w:val="24"/>
          <w:highlight w:val="none"/>
          <w:lang w:val="en-US" w:eastAsia="zh-CN"/>
        </w:rPr>
        <w:t>2</w:t>
      </w:r>
      <w:r>
        <w:rPr>
          <w:rFonts w:hint="eastAsia" w:ascii="仿宋_GB2312" w:hAnsi="仿宋_GB2312" w:eastAsia="仿宋_GB2312"/>
          <w:color w:val="auto"/>
          <w:kern w:val="2"/>
          <w:sz w:val="32"/>
          <w:szCs w:val="24"/>
          <w:highlight w:val="none"/>
          <w:lang w:val="zh-CN"/>
        </w:rPr>
        <w:t>%。</w:t>
      </w:r>
    </w:p>
    <w:p>
      <w:pPr>
        <w:pStyle w:val="6"/>
        <w:shd w:val="clear" w:color="010000" w:fill="auto"/>
        <w:jc w:val="center"/>
        <w:rPr>
          <w:rFonts w:hint="eastAsia"/>
          <w:color w:val="auto"/>
          <w:highlight w:val="none"/>
          <w:lang w:val="zh-CN"/>
        </w:rPr>
      </w:pPr>
      <w:r>
        <w:rPr>
          <w:rFonts w:hint="eastAsia" w:ascii="仿宋_GB2312" w:hAnsi="Calibri" w:eastAsia="仿宋" w:cs="黑体"/>
          <w:color w:val="auto"/>
          <w:kern w:val="0"/>
          <w:sz w:val="24"/>
          <w:szCs w:val="20"/>
          <w:highlight w:val="none"/>
          <w:lang w:val="en-US" w:eastAsia="zh-CN" w:bidi="ar-SA"/>
        </w:rPr>
        <w:pict>
          <v:shape id="图表 4" o:spid="_x0000_s1028" type="#_x0000_t75" style="height:172.6pt;width:411.9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keepNext/>
        <w:keepLines/>
        <w:shd w:val="clear" w:color="020000" w:fill="auto"/>
        <w:tabs>
          <w:tab w:val="right" w:pos="8306"/>
        </w:tabs>
        <w:spacing w:beforeLines="0" w:afterLines="0" w:line="576" w:lineRule="exact"/>
        <w:ind w:firstLine="640"/>
        <w:jc w:val="both"/>
        <w:outlineLvl w:val="1"/>
        <w:rPr>
          <w:rFonts w:hint="eastAsia" w:ascii="方正黑体简体" w:hAnsi="方正黑体简体" w:eastAsia="方正黑体简体" w:cs="方正黑体简体"/>
          <w:color w:val="auto"/>
          <w:kern w:val="2"/>
          <w:sz w:val="32"/>
          <w:szCs w:val="24"/>
          <w:highlight w:val="none"/>
          <w:lang w:val="zh-CN"/>
        </w:rPr>
      </w:pPr>
      <w:bookmarkStart w:id="8" w:name="_Toc17238"/>
      <w:r>
        <w:rPr>
          <w:rFonts w:hint="eastAsia" w:ascii="方正黑体简体" w:hAnsi="方正黑体简体" w:eastAsia="方正黑体简体" w:cs="方正黑体简体"/>
          <w:color w:val="auto"/>
          <w:kern w:val="2"/>
          <w:sz w:val="32"/>
          <w:szCs w:val="24"/>
          <w:highlight w:val="none"/>
          <w:lang w:val="zh-CN"/>
        </w:rPr>
        <w:t>三、支出决算情况说明</w:t>
      </w:r>
      <w:bookmarkEnd w:id="8"/>
    </w:p>
    <w:p>
      <w:pPr>
        <w:keepNext/>
        <w:keepLines/>
        <w:shd w:val="clear" w:color="020000" w:fill="auto"/>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2022年本年支出合计9,215.16万元，其中：基本支出3,066.88万元，占33.</w:t>
      </w:r>
      <w:r>
        <w:rPr>
          <w:rFonts w:hint="eastAsia" w:ascii="仿宋_GB2312" w:hAnsi="仿宋_GB2312" w:eastAsia="仿宋_GB2312"/>
          <w:color w:val="auto"/>
          <w:kern w:val="2"/>
          <w:sz w:val="32"/>
          <w:szCs w:val="24"/>
          <w:highlight w:val="none"/>
          <w:lang w:val="en-US" w:eastAsia="zh-CN"/>
        </w:rPr>
        <w:t>28</w:t>
      </w:r>
      <w:r>
        <w:rPr>
          <w:rFonts w:hint="eastAsia" w:ascii="仿宋_GB2312" w:hAnsi="仿宋_GB2312" w:eastAsia="仿宋_GB2312"/>
          <w:color w:val="auto"/>
          <w:kern w:val="2"/>
          <w:sz w:val="32"/>
          <w:szCs w:val="24"/>
          <w:highlight w:val="none"/>
          <w:lang w:val="zh-CN"/>
        </w:rPr>
        <w:t>%；项目支出6,148.28万元，占66.7</w:t>
      </w:r>
      <w:r>
        <w:rPr>
          <w:rFonts w:hint="eastAsia" w:ascii="仿宋_GB2312" w:hAnsi="仿宋_GB2312" w:eastAsia="仿宋_GB2312"/>
          <w:color w:val="auto"/>
          <w:kern w:val="2"/>
          <w:sz w:val="32"/>
          <w:szCs w:val="24"/>
          <w:highlight w:val="none"/>
          <w:lang w:val="en-US" w:eastAsia="zh-CN"/>
        </w:rPr>
        <w:t>2</w:t>
      </w:r>
      <w:r>
        <w:rPr>
          <w:rFonts w:hint="eastAsia" w:ascii="仿宋_GB2312" w:hAnsi="仿宋_GB2312" w:eastAsia="仿宋_GB2312"/>
          <w:color w:val="auto"/>
          <w:kern w:val="2"/>
          <w:sz w:val="32"/>
          <w:szCs w:val="24"/>
          <w:highlight w:val="none"/>
          <w:lang w:val="zh-CN"/>
        </w:rPr>
        <w:t>%。</w:t>
      </w:r>
    </w:p>
    <w:p>
      <w:pPr>
        <w:keepNext/>
        <w:keepLines/>
        <w:shd w:val="clear" w:color="020000" w:fill="auto"/>
        <w:spacing w:beforeLines="0" w:afterLines="0" w:line="576" w:lineRule="exact"/>
        <w:jc w:val="both"/>
        <w:rPr>
          <w:rFonts w:hint="eastAsia" w:ascii="黑体" w:hAnsi="黑体" w:eastAsia="黑体"/>
          <w:color w:val="auto"/>
          <w:kern w:val="2"/>
          <w:sz w:val="32"/>
          <w:szCs w:val="24"/>
          <w:highlight w:val="none"/>
          <w:lang w:val="zh-CN"/>
        </w:rPr>
      </w:pPr>
      <w:r>
        <w:rPr>
          <w:rFonts w:hint="eastAsia" w:ascii="Calibri" w:hAnsi="Calibri" w:eastAsia="仿宋" w:cs="黑体"/>
          <w:color w:val="auto"/>
          <w:sz w:val="24"/>
          <w:szCs w:val="24"/>
          <w:highlight w:val="none"/>
          <w:lang w:val="en-US" w:eastAsia="zh-CN" w:bidi="ar-SA"/>
        </w:rPr>
        <w:pict>
          <v:shape id="图表 6" o:spid="_x0000_s1029" type="#_x0000_t75" style="position:absolute;left:0;margin-left:35.3pt;margin-top:10.5pt;height:155.95pt;width:368.3pt;rotation:0f;z-index:251659264;"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p>
    <w:p>
      <w:pPr>
        <w:keepNext/>
        <w:keepLines/>
        <w:shd w:val="clear" w:color="020000" w:fill="auto"/>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color="020000" w:fill="auto"/>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color="020000" w:fill="auto"/>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color="020000" w:fill="auto"/>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color="020000" w:fill="auto"/>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color="020000" w:fill="auto"/>
        <w:tabs>
          <w:tab w:val="right" w:pos="8306"/>
        </w:tabs>
        <w:spacing w:beforeLines="0" w:afterLines="0" w:line="576" w:lineRule="exact"/>
        <w:ind w:firstLine="640"/>
        <w:jc w:val="both"/>
        <w:outlineLvl w:val="1"/>
        <w:rPr>
          <w:rFonts w:hint="eastAsia" w:ascii="方正黑体简体" w:hAnsi="方正黑体简体" w:eastAsia="方正黑体简体" w:cs="方正黑体简体"/>
          <w:color w:val="auto"/>
          <w:kern w:val="2"/>
          <w:sz w:val="32"/>
          <w:szCs w:val="24"/>
          <w:highlight w:val="none"/>
          <w:lang w:val="zh-CN"/>
        </w:rPr>
      </w:pPr>
      <w:bookmarkStart w:id="9" w:name="_Toc6616"/>
      <w:r>
        <w:rPr>
          <w:rFonts w:hint="eastAsia" w:ascii="方正黑体简体" w:hAnsi="方正黑体简体" w:eastAsia="方正黑体简体" w:cs="方正黑体简体"/>
          <w:color w:val="auto"/>
          <w:kern w:val="2"/>
          <w:sz w:val="32"/>
          <w:szCs w:val="24"/>
          <w:highlight w:val="none"/>
          <w:lang w:val="zh-CN"/>
        </w:rPr>
        <w:t>四、财政拨款收入支出决算总体情况说明</w:t>
      </w:r>
      <w:bookmarkEnd w:id="9"/>
    </w:p>
    <w:p>
      <w:pPr>
        <w:keepNext/>
        <w:keepLines/>
        <w:shd w:val="clear" w:color="020000" w:fill="auto"/>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2022年财政拨款收、支总计9,201.08万元。与2021年相比，财政拨款收、支总计各增加3,511.0</w:t>
      </w:r>
      <w:r>
        <w:rPr>
          <w:rFonts w:hint="eastAsia" w:ascii="仿宋_GB2312" w:hAnsi="仿宋_GB2312" w:eastAsia="仿宋_GB2312"/>
          <w:color w:val="auto"/>
          <w:kern w:val="2"/>
          <w:sz w:val="32"/>
          <w:szCs w:val="24"/>
          <w:highlight w:val="none"/>
          <w:lang w:val="en-US" w:eastAsia="zh-CN"/>
        </w:rPr>
        <w:t>1</w:t>
      </w:r>
      <w:r>
        <w:rPr>
          <w:rFonts w:hint="eastAsia" w:ascii="仿宋_GB2312" w:hAnsi="仿宋_GB2312" w:eastAsia="仿宋_GB2312"/>
          <w:color w:val="auto"/>
          <w:kern w:val="2"/>
          <w:sz w:val="32"/>
          <w:szCs w:val="24"/>
          <w:highlight w:val="none"/>
          <w:lang w:val="zh-CN"/>
        </w:rPr>
        <w:t>万元，增长61.7</w:t>
      </w:r>
      <w:r>
        <w:rPr>
          <w:rFonts w:hint="eastAsia" w:ascii="仿宋_GB2312" w:hAnsi="仿宋_GB2312" w:eastAsia="仿宋_GB2312"/>
          <w:color w:val="auto"/>
          <w:kern w:val="2"/>
          <w:sz w:val="32"/>
          <w:szCs w:val="24"/>
          <w:highlight w:val="none"/>
          <w:lang w:val="en-US" w:eastAsia="zh-CN"/>
        </w:rPr>
        <w:t>0</w:t>
      </w:r>
      <w:r>
        <w:rPr>
          <w:rFonts w:hint="eastAsia" w:ascii="仿宋_GB2312" w:hAnsi="仿宋_GB2312" w:eastAsia="仿宋_GB2312"/>
          <w:color w:val="auto"/>
          <w:kern w:val="2"/>
          <w:sz w:val="32"/>
          <w:szCs w:val="24"/>
          <w:highlight w:val="none"/>
          <w:lang w:val="zh-CN"/>
        </w:rPr>
        <w:t>%。主要变动原因：一是人员增加，人员经费增加；二是市城区生活垃圾分类服务项目经费增加。</w:t>
      </w:r>
    </w:p>
    <w:p>
      <w:pPr>
        <w:pStyle w:val="6"/>
        <w:shd w:val="clear" w:color="010000" w:fill="auto"/>
        <w:jc w:val="center"/>
        <w:rPr>
          <w:rFonts w:hint="eastAsia"/>
          <w:color w:val="auto"/>
          <w:highlight w:val="none"/>
          <w:lang w:val="zh-CN"/>
        </w:rPr>
      </w:pPr>
      <w:r>
        <w:rPr>
          <w:rFonts w:hint="eastAsia" w:ascii="仿宋_GB2312" w:hAnsi="Calibri" w:eastAsia="仿宋_GB2312" w:cs="黑体"/>
          <w:color w:val="auto"/>
          <w:kern w:val="0"/>
          <w:sz w:val="24"/>
          <w:szCs w:val="20"/>
          <w:highlight w:val="none"/>
          <w:lang w:val="zh-CN" w:eastAsia="zh-CN" w:bidi="ar-SA"/>
        </w:rPr>
        <w:pict>
          <v:shape id="图表 3" o:spid="_x0000_s1030" type="#_x0000_t75" style="height:242.2pt;width:431.4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keepNext/>
        <w:keepLines/>
        <w:shd w:val="clear" w:color="020000" w:fill="auto"/>
        <w:tabs>
          <w:tab w:val="right" w:pos="8306"/>
        </w:tabs>
        <w:spacing w:beforeLines="0" w:afterLines="0" w:line="576" w:lineRule="exact"/>
        <w:ind w:firstLine="640"/>
        <w:jc w:val="both"/>
        <w:outlineLvl w:val="1"/>
        <w:rPr>
          <w:rFonts w:hint="eastAsia" w:ascii="方正黑体简体" w:hAnsi="方正黑体简体" w:eastAsia="方正黑体简体" w:cs="方正黑体简体"/>
          <w:color w:val="auto"/>
          <w:kern w:val="2"/>
          <w:sz w:val="32"/>
          <w:szCs w:val="24"/>
          <w:highlight w:val="none"/>
          <w:lang w:val="zh-CN"/>
        </w:rPr>
      </w:pPr>
      <w:bookmarkStart w:id="10" w:name="_Toc16861"/>
      <w:r>
        <w:rPr>
          <w:rFonts w:hint="eastAsia" w:ascii="方正黑体简体" w:hAnsi="方正黑体简体" w:eastAsia="方正黑体简体" w:cs="方正黑体简体"/>
          <w:color w:val="auto"/>
          <w:kern w:val="2"/>
          <w:sz w:val="32"/>
          <w:szCs w:val="24"/>
          <w:highlight w:val="none"/>
          <w:lang w:val="zh-CN"/>
        </w:rPr>
        <w:t>五、一般公共预算财政拨款支出决算情况说明</w:t>
      </w:r>
      <w:bookmarkEnd w:id="10"/>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（一）一般公共预算财政拨款支出决算总体情况。</w:t>
      </w:r>
    </w:p>
    <w:p>
      <w:pPr>
        <w:keepNext/>
        <w:keepLines/>
        <w:widowControl w:val="0"/>
        <w:shd w:val="clear" w:color="040000" w:fill="auto"/>
        <w:wordWrap/>
        <w:autoSpaceDE w:val="0"/>
        <w:autoSpaceDN w:val="0"/>
        <w:adjustRightInd w:val="0"/>
        <w:snapToGrid/>
        <w:spacing w:beforeLines="0" w:afterLines="0" w:line="510" w:lineRule="exact"/>
        <w:ind w:firstLine="640"/>
        <w:jc w:val="both"/>
        <w:textAlignment w:val="auto"/>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2022年一般公共预算财政拨款支出9,189.08万元，占本年支出合计的99.</w:t>
      </w:r>
      <w:r>
        <w:rPr>
          <w:rFonts w:hint="eastAsia" w:ascii="仿宋_GB2312" w:hAnsi="仿宋_GB2312" w:eastAsia="仿宋_GB2312"/>
          <w:color w:val="auto"/>
          <w:kern w:val="2"/>
          <w:sz w:val="32"/>
          <w:szCs w:val="24"/>
          <w:highlight w:val="none"/>
          <w:lang w:val="en-US" w:eastAsia="zh-CN"/>
        </w:rPr>
        <w:t>72</w:t>
      </w:r>
      <w:r>
        <w:rPr>
          <w:rFonts w:hint="eastAsia" w:ascii="仿宋_GB2312" w:hAnsi="仿宋_GB2312" w:eastAsia="仿宋_GB2312"/>
          <w:color w:val="auto"/>
          <w:kern w:val="2"/>
          <w:sz w:val="32"/>
          <w:szCs w:val="24"/>
          <w:highlight w:val="none"/>
          <w:lang w:val="zh-CN"/>
        </w:rPr>
        <w:t>%。与2021年相比，一般公共预算财政拨款支出增加5,407.85万元，增长143%。主要变动原因：一是人员增加，人员经费增加；二是市城区生活垃圾分类服务项目经费增加。</w:t>
      </w:r>
    </w:p>
    <w:p>
      <w:pPr>
        <w:pStyle w:val="6"/>
        <w:shd w:val="clear" w:color="010000" w:fill="auto"/>
        <w:jc w:val="center"/>
        <w:rPr>
          <w:rFonts w:hint="eastAsia"/>
          <w:color w:val="auto"/>
          <w:highlight w:val="none"/>
          <w:lang w:val="zh-CN"/>
        </w:rPr>
      </w:pPr>
      <w:r>
        <w:rPr>
          <w:rFonts w:hint="eastAsia" w:ascii="仿宋_GB2312" w:hAnsi="Calibri" w:eastAsia="仿宋_GB2312" w:cs="黑体"/>
          <w:color w:val="auto"/>
          <w:kern w:val="0"/>
          <w:sz w:val="24"/>
          <w:szCs w:val="20"/>
          <w:highlight w:val="none"/>
          <w:lang w:val="zh-CN" w:eastAsia="zh-CN" w:bidi="ar-SA"/>
        </w:rPr>
        <w:pict>
          <v:shape id="图表 8" o:spid="_x0000_s1031" type="#_x0000_t75" style="height:155.9pt;width:365.7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（二）一般公共预算财政拨款支出决算结构情况。</w:t>
      </w:r>
    </w:p>
    <w:p>
      <w:pPr>
        <w:pStyle w:val="6"/>
        <w:widowControl w:val="0"/>
        <w:shd w:val="clear" w:color="050000" w:fill="auto"/>
        <w:wordWrap/>
        <w:autoSpaceDE w:val="0"/>
        <w:autoSpaceDN w:val="0"/>
        <w:adjustRightInd w:val="0"/>
        <w:snapToGrid/>
        <w:spacing w:beforeLines="0" w:line="510" w:lineRule="exact"/>
        <w:ind w:firstLine="640" w:firstLineChars="200"/>
        <w:jc w:val="left"/>
        <w:textAlignment w:val="auto"/>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2022年一般公共预算财政拨款支出9,189.08万元，主要用于以下方</w:t>
      </w:r>
      <w:r>
        <w:rPr>
          <w:rFonts w:hint="eastAsia" w:hAnsi="仿宋_GB2312"/>
          <w:color w:val="auto"/>
          <w:kern w:val="2"/>
          <w:sz w:val="32"/>
          <w:szCs w:val="24"/>
          <w:highlight w:val="none"/>
          <w:lang w:val="zh-CN"/>
        </w:rPr>
        <w:t>：</w:t>
      </w:r>
      <w:r>
        <w:rPr>
          <w:rFonts w:hint="eastAsia" w:ascii="仿宋_GB2312" w:hAnsi="仿宋_GB2312" w:eastAsia="仿宋_GB2312"/>
          <w:color w:val="auto"/>
          <w:kern w:val="2"/>
          <w:sz w:val="32"/>
          <w:szCs w:val="24"/>
          <w:highlight w:val="none"/>
          <w:lang w:val="zh-CN"/>
        </w:rPr>
        <w:t>社会保障和就业支出199.99万元，占2.</w:t>
      </w:r>
      <w:r>
        <w:rPr>
          <w:rFonts w:hint="eastAsia" w:hAnsi="仿宋_GB2312"/>
          <w:color w:val="auto"/>
          <w:kern w:val="2"/>
          <w:sz w:val="32"/>
          <w:szCs w:val="24"/>
          <w:highlight w:val="none"/>
          <w:lang w:val="en-US" w:eastAsia="zh-CN"/>
        </w:rPr>
        <w:t>18</w:t>
      </w:r>
      <w:r>
        <w:rPr>
          <w:rFonts w:hint="eastAsia" w:ascii="仿宋_GB2312" w:hAnsi="仿宋_GB2312" w:eastAsia="仿宋_GB2312"/>
          <w:color w:val="auto"/>
          <w:kern w:val="2"/>
          <w:sz w:val="32"/>
          <w:szCs w:val="24"/>
          <w:highlight w:val="none"/>
          <w:lang w:val="zh-CN"/>
        </w:rPr>
        <w:t>%；卫生健康支出95.18万元，占1</w:t>
      </w:r>
      <w:r>
        <w:rPr>
          <w:rFonts w:hint="eastAsia" w:hAnsi="仿宋_GB2312"/>
          <w:color w:val="auto"/>
          <w:kern w:val="2"/>
          <w:sz w:val="32"/>
          <w:szCs w:val="24"/>
          <w:highlight w:val="none"/>
          <w:lang w:val="en-US" w:eastAsia="zh-CN"/>
        </w:rPr>
        <w:t>.04</w:t>
      </w:r>
      <w:r>
        <w:rPr>
          <w:rFonts w:hint="eastAsia" w:ascii="仿宋_GB2312" w:hAnsi="仿宋_GB2312" w:eastAsia="仿宋_GB2312"/>
          <w:color w:val="auto"/>
          <w:kern w:val="2"/>
          <w:sz w:val="32"/>
          <w:szCs w:val="24"/>
          <w:highlight w:val="none"/>
          <w:lang w:val="zh-CN"/>
        </w:rPr>
        <w:t>%；城乡社区支出8,658.73万元，占94.2</w:t>
      </w:r>
      <w:r>
        <w:rPr>
          <w:rFonts w:hint="eastAsia" w:hAnsi="仿宋_GB2312"/>
          <w:color w:val="auto"/>
          <w:kern w:val="2"/>
          <w:sz w:val="32"/>
          <w:szCs w:val="24"/>
          <w:highlight w:val="none"/>
          <w:lang w:val="en-US" w:eastAsia="zh-CN"/>
        </w:rPr>
        <w:t>3</w:t>
      </w:r>
      <w:r>
        <w:rPr>
          <w:rFonts w:hint="eastAsia" w:ascii="仿宋_GB2312" w:hAnsi="仿宋_GB2312" w:eastAsia="仿宋_GB2312"/>
          <w:color w:val="auto"/>
          <w:kern w:val="2"/>
          <w:sz w:val="32"/>
          <w:szCs w:val="24"/>
          <w:highlight w:val="none"/>
          <w:lang w:val="zh-CN"/>
        </w:rPr>
        <w:t>%；住房保障支出235.18万元，占2.</w:t>
      </w:r>
      <w:r>
        <w:rPr>
          <w:rFonts w:hint="eastAsia" w:hAnsi="仿宋_GB2312"/>
          <w:color w:val="auto"/>
          <w:kern w:val="2"/>
          <w:sz w:val="32"/>
          <w:szCs w:val="24"/>
          <w:highlight w:val="none"/>
          <w:lang w:val="en-US" w:eastAsia="zh-CN"/>
        </w:rPr>
        <w:t>55</w:t>
      </w:r>
      <w:r>
        <w:rPr>
          <w:rFonts w:hint="eastAsia" w:ascii="仿宋_GB2312" w:hAnsi="仿宋_GB2312" w:eastAsia="仿宋_GB2312"/>
          <w:color w:val="auto"/>
          <w:kern w:val="2"/>
          <w:sz w:val="32"/>
          <w:szCs w:val="24"/>
          <w:highlight w:val="none"/>
          <w:lang w:val="zh-CN"/>
        </w:rPr>
        <w:t>%；</w:t>
      </w:r>
    </w:p>
    <w:p>
      <w:pPr>
        <w:pStyle w:val="6"/>
        <w:shd w:val="clear" w:color="010000" w:fill="auto"/>
        <w:ind w:left="0" w:leftChars="0" w:right="0" w:firstLine="0" w:firstLineChars="0"/>
        <w:jc w:val="center"/>
        <w:rPr>
          <w:rFonts w:hint="eastAsia"/>
          <w:color w:val="auto"/>
          <w:highlight w:val="none"/>
          <w:lang w:val="zh-CN"/>
        </w:rPr>
      </w:pPr>
      <w:r>
        <w:rPr>
          <w:rFonts w:hint="eastAsia" w:ascii="仿宋_GB2312" w:hAnsi="Calibri" w:eastAsia="仿宋_GB2312" w:cs="黑体"/>
          <w:color w:val="auto"/>
          <w:kern w:val="0"/>
          <w:sz w:val="24"/>
          <w:szCs w:val="20"/>
          <w:highlight w:val="none"/>
          <w:lang w:val="zh-CN" w:eastAsia="zh-CN" w:bidi="ar-SA"/>
        </w:rPr>
        <w:pict>
          <v:shape id="图表 9" o:spid="_x0000_s1032" type="#_x0000_t75" style="height:183.35pt;width:346.4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（三）一般公共预算财政拨款支出决算具体情况。</w:t>
      </w:r>
    </w:p>
    <w:p>
      <w:pPr>
        <w:keepNext/>
        <w:keepLines/>
        <w:shd w:val="clear" w:color="020000" w:fill="auto"/>
        <w:spacing w:beforeLines="0" w:afterLines="0" w:line="576" w:lineRule="exact"/>
        <w:ind w:firstLine="643"/>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2022年一般公共预算支出决算数为9,189.08万元</w:t>
      </w:r>
      <w:r>
        <w:rPr>
          <w:rFonts w:hint="eastAsia" w:ascii="仿宋_GB2312" w:hAnsi="仿宋_GB2312" w:eastAsia="仿宋_GB2312"/>
          <w:color w:val="auto"/>
          <w:kern w:val="2"/>
          <w:sz w:val="32"/>
          <w:szCs w:val="24"/>
          <w:highlight w:val="none"/>
          <w:lang w:val="zh-CN"/>
        </w:rPr>
        <w:t>，</w:t>
      </w:r>
      <w:r>
        <w:rPr>
          <w:rFonts w:hint="eastAsia" w:ascii="仿宋_GB2312" w:hAnsi="仿宋_GB2312" w:eastAsia="仿宋_GB2312"/>
          <w:b/>
          <w:color w:val="auto"/>
          <w:kern w:val="2"/>
          <w:sz w:val="32"/>
          <w:szCs w:val="24"/>
          <w:highlight w:val="none"/>
          <w:lang w:val="zh-CN"/>
        </w:rPr>
        <w:t>完成预算100%。其中：</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 社会保障和就业支出（类）行政事业单位养老支出（款）机关事业单位基本养老保险缴费支出（项）：支出决算为172.01万元，完成预算100%，决算数与预算数持平。</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 社会保障和就业支出（类）行政事业单位养老支出（款）机关事业单位职业年金缴费支出（项：: 支出决算为27.98万元，完成预算100%，决算数与预算数持平。</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3. 卫生健康支出（类）公共卫生（款）基本公共卫生服务（项）：支出决算数为6万元，完成预算100%，决算数与预算数持平。</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4. 卫生健康支出（类）行政事业单位医疗（款）行政单位医疗（项）：支出决算数为82.73万元，完成预算100%，决算数与预算数持平。</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5. 卫生健康支出（类）行政事业单位医疗（款）事业单位医疗（项）：支出决算数为6.45万元，完成预算100%，决算数与预算数持平。</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6. 城乡社区支出（类）城乡社区管理事务（款）行政运行（项）：支出决算数2334.82万元，完成预算100%，决算数与预算数持平。</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7. 城乡社区支出（类）城乡社区管理事务（款）城管执法（项）：支出决算数1398.38万元，完成预算100%，决算数与预算数持平。</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8. 城乡社区支出（类）城乡社区管理事务（款）其他城乡社区管理事务支出（项：:支出决算数为162.47万元，完成预算100%，决算数与预算数持平。</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9. 城乡社区支出（类）其他城乡社区管理事务（款）其他城乡社区支出（项）：支出决算数为4763.06万元，完成预算100%，决算数与预算数持平。</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10.住房保障支出（类）住房改革支出（款）住房公积金（项）：支出决算数为235.18万元，完成预算100%，决算数与预算数持平。</w:t>
      </w:r>
    </w:p>
    <w:p>
      <w:pPr>
        <w:keepNext/>
        <w:keepLines/>
        <w:shd w:val="clear" w:color="020000" w:fill="auto"/>
        <w:tabs>
          <w:tab w:val="right" w:pos="8306"/>
        </w:tabs>
        <w:spacing w:beforeLines="0" w:afterLines="0" w:line="576" w:lineRule="exact"/>
        <w:ind w:firstLine="640"/>
        <w:jc w:val="both"/>
        <w:outlineLvl w:val="1"/>
        <w:rPr>
          <w:rFonts w:hint="eastAsia" w:ascii="方正黑体简体" w:hAnsi="方正黑体简体" w:eastAsia="方正黑体简体" w:cs="方正黑体简体"/>
          <w:b/>
          <w:color w:val="auto"/>
          <w:kern w:val="2"/>
          <w:sz w:val="32"/>
          <w:szCs w:val="24"/>
          <w:highlight w:val="none"/>
          <w:lang w:val="zh-CN"/>
        </w:rPr>
      </w:pPr>
      <w:bookmarkStart w:id="11" w:name="_Toc411"/>
      <w:r>
        <w:rPr>
          <w:rFonts w:hint="eastAsia" w:ascii="方正黑体简体" w:hAnsi="方正黑体简体" w:eastAsia="方正黑体简体" w:cs="方正黑体简体"/>
          <w:color w:val="auto"/>
          <w:kern w:val="2"/>
          <w:sz w:val="32"/>
          <w:szCs w:val="24"/>
          <w:highlight w:val="none"/>
          <w:lang w:val="zh-CN"/>
        </w:rPr>
        <w:t>六</w:t>
      </w:r>
      <w:r>
        <w:rPr>
          <w:rFonts w:hint="eastAsia" w:ascii="方正黑体简体" w:hAnsi="方正黑体简体" w:eastAsia="方正黑体简体" w:cs="方正黑体简体"/>
          <w:b/>
          <w:color w:val="auto"/>
          <w:kern w:val="2"/>
          <w:sz w:val="32"/>
          <w:szCs w:val="24"/>
          <w:highlight w:val="none"/>
          <w:lang w:val="zh-CN"/>
        </w:rPr>
        <w:t>、一</w:t>
      </w:r>
      <w:r>
        <w:rPr>
          <w:rFonts w:hint="eastAsia" w:ascii="方正黑体简体" w:hAnsi="方正黑体简体" w:eastAsia="方正黑体简体" w:cs="方正黑体简体"/>
          <w:color w:val="auto"/>
          <w:kern w:val="2"/>
          <w:sz w:val="32"/>
          <w:szCs w:val="24"/>
          <w:highlight w:val="none"/>
          <w:lang w:val="zh-CN"/>
        </w:rPr>
        <w:t>般公共预算财政拨款基本支出决算情况说明</w:t>
      </w:r>
      <w:bookmarkEnd w:id="11"/>
      <w:r>
        <w:rPr>
          <w:rFonts w:hint="eastAsia" w:ascii="方正黑体简体" w:hAnsi="方正黑体简体" w:eastAsia="方正黑体简体" w:cs="方正黑体简体"/>
          <w:color w:val="auto"/>
          <w:kern w:val="2"/>
          <w:sz w:val="32"/>
          <w:szCs w:val="24"/>
          <w:highlight w:val="none"/>
          <w:lang w:val="zh-CN"/>
        </w:rPr>
        <w:tab/>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s="仿宋_GB2312"/>
          <w:b w:val="0"/>
          <w:bCs w:val="0"/>
          <w:color w:val="auto"/>
          <w:spacing w:val="0"/>
          <w:kern w:val="2"/>
          <w:sz w:val="32"/>
          <w:szCs w:val="32"/>
          <w:highlight w:val="none"/>
          <w:lang w:val="zh-CN" w:eastAsia="zh-CN" w:bidi="ar-SA"/>
        </w:rPr>
        <w:t>2022年一般公共预算财政拨款基本支出3,066.81万元，其中：</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s="仿宋_GB2312"/>
          <w:b w:val="0"/>
          <w:bCs w:val="0"/>
          <w:color w:val="auto"/>
          <w:spacing w:val="0"/>
          <w:kern w:val="2"/>
          <w:sz w:val="32"/>
          <w:szCs w:val="32"/>
          <w:highlight w:val="none"/>
          <w:lang w:val="zh-CN" w:eastAsia="zh-CN" w:bidi="ar-SA"/>
        </w:rPr>
        <w:t>人员经费2,618.47万元，主要包括：</w:t>
      </w:r>
      <w:r>
        <w:rPr>
          <w:rFonts w:hint="eastAsia" w:ascii="仿宋_GB2312" w:hAnsi="仿宋_GB2312" w:eastAsia="仿宋_GB2312" w:cs="仿宋_GB2312"/>
          <w:b w:val="0"/>
          <w:bCs w:val="0"/>
          <w:color w:val="auto"/>
          <w:spacing w:val="0"/>
          <w:kern w:val="2"/>
          <w:sz w:val="32"/>
          <w:szCs w:val="32"/>
          <w:highlight w:val="none"/>
          <w:lang w:val="en-US" w:eastAsia="zh-CN" w:bidi="ar-SA"/>
        </w:rPr>
        <w:t>基本工资、津贴补贴、奖金、绩效工资、机关事业单位基本养老保险缴费、职业年金缴费、职工基本医疗保险缴费、其他社会保障缴费、住房公积金、其他工资福利支出、生活补助、奖励金</w:t>
      </w:r>
      <w:r>
        <w:rPr>
          <w:rFonts w:hint="eastAsia" w:ascii="仿宋_GB2312" w:hAnsi="仿宋_GB2312" w:eastAsia="仿宋_GB2312" w:cs="仿宋_GB2312"/>
          <w:b w:val="0"/>
          <w:bCs w:val="0"/>
          <w:color w:val="auto"/>
          <w:spacing w:val="0"/>
          <w:kern w:val="2"/>
          <w:sz w:val="32"/>
          <w:szCs w:val="32"/>
          <w:highlight w:val="none"/>
          <w:lang w:val="zh-CN" w:eastAsia="zh-CN" w:bidi="ar-SA"/>
        </w:rPr>
        <w:t>。</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s="仿宋_GB2312"/>
          <w:b w:val="0"/>
          <w:bCs w:val="0"/>
          <w:color w:val="auto"/>
          <w:spacing w:val="0"/>
          <w:kern w:val="2"/>
          <w:sz w:val="32"/>
          <w:szCs w:val="32"/>
          <w:highlight w:val="none"/>
          <w:lang w:val="zh-CN" w:eastAsia="zh-CN" w:bidi="ar-SA"/>
        </w:rPr>
        <w:t>公用经费448.3</w:t>
      </w:r>
      <w:r>
        <w:rPr>
          <w:rFonts w:hint="eastAsia" w:ascii="仿宋_GB2312" w:hAnsi="仿宋_GB2312" w:eastAsia="仿宋_GB2312" w:cs="仿宋_GB2312"/>
          <w:b w:val="0"/>
          <w:bCs w:val="0"/>
          <w:color w:val="auto"/>
          <w:spacing w:val="0"/>
          <w:kern w:val="2"/>
          <w:sz w:val="32"/>
          <w:szCs w:val="32"/>
          <w:highlight w:val="none"/>
          <w:lang w:val="en-US" w:eastAsia="zh-CN" w:bidi="ar-SA"/>
        </w:rPr>
        <w:t>4</w:t>
      </w:r>
      <w:r>
        <w:rPr>
          <w:rFonts w:hint="eastAsia" w:ascii="仿宋_GB2312" w:hAnsi="仿宋_GB2312" w:eastAsia="仿宋_GB2312" w:cs="仿宋_GB2312"/>
          <w:b w:val="0"/>
          <w:bCs w:val="0"/>
          <w:color w:val="auto"/>
          <w:spacing w:val="0"/>
          <w:kern w:val="2"/>
          <w:sz w:val="32"/>
          <w:szCs w:val="32"/>
          <w:highlight w:val="none"/>
          <w:lang w:val="zh-CN" w:eastAsia="zh-CN" w:bidi="ar-SA"/>
        </w:rPr>
        <w:t>万元，主要包括：</w:t>
      </w:r>
      <w:r>
        <w:rPr>
          <w:rFonts w:hint="eastAsia" w:ascii="仿宋_GB2312" w:hAnsi="仿宋_GB2312" w:eastAsia="仿宋_GB2312" w:cs="仿宋_GB2312"/>
          <w:b w:val="0"/>
          <w:bCs w:val="0"/>
          <w:color w:val="auto"/>
          <w:spacing w:val="0"/>
          <w:kern w:val="2"/>
          <w:sz w:val="32"/>
          <w:szCs w:val="32"/>
          <w:highlight w:val="none"/>
          <w:lang w:val="en-US" w:eastAsia="zh-CN" w:bidi="ar-SA"/>
        </w:rPr>
        <w:t>办公费、印刷费、手续费、水费、电费、邮电费、物业管理费、差旅费、维修（护）费、租赁费、会议费、培训费、公务接待费、专用材料费、劳务费、委托业务费、工会经费、福利费、公务用车运行维护费、其他交通费用、其他商品和服务支出、办公设备购置等</w:t>
      </w:r>
      <w:r>
        <w:rPr>
          <w:rFonts w:hint="eastAsia" w:ascii="仿宋_GB2312" w:hAnsi="仿宋_GB2312" w:eastAsia="仿宋_GB2312" w:cs="仿宋_GB2312"/>
          <w:b w:val="0"/>
          <w:bCs w:val="0"/>
          <w:color w:val="auto"/>
          <w:spacing w:val="0"/>
          <w:kern w:val="2"/>
          <w:sz w:val="32"/>
          <w:szCs w:val="32"/>
          <w:highlight w:val="none"/>
          <w:lang w:val="zh-CN" w:eastAsia="zh-CN" w:bidi="ar-SA"/>
        </w:rPr>
        <w:t>。</w:t>
      </w:r>
    </w:p>
    <w:p>
      <w:pPr>
        <w:keepNext/>
        <w:keepLines/>
        <w:shd w:val="clear" w:color="020000" w:fill="auto"/>
        <w:tabs>
          <w:tab w:val="right" w:pos="8306"/>
        </w:tabs>
        <w:spacing w:beforeLines="0" w:afterLines="0" w:line="576" w:lineRule="exact"/>
        <w:ind w:firstLine="640"/>
        <w:jc w:val="both"/>
        <w:outlineLvl w:val="1"/>
        <w:rPr>
          <w:rFonts w:hint="eastAsia" w:ascii="方正黑体简体" w:hAnsi="方正黑体简体" w:eastAsia="方正黑体简体" w:cs="方正黑体简体"/>
          <w:color w:val="auto"/>
          <w:kern w:val="2"/>
          <w:sz w:val="32"/>
          <w:szCs w:val="24"/>
          <w:highlight w:val="none"/>
          <w:lang w:val="zh-CN"/>
        </w:rPr>
      </w:pPr>
      <w:bookmarkStart w:id="12" w:name="_Toc11180"/>
      <w:r>
        <w:rPr>
          <w:rFonts w:hint="eastAsia" w:ascii="方正黑体简体" w:hAnsi="方正黑体简体" w:eastAsia="方正黑体简体" w:cs="方正黑体简体"/>
          <w:color w:val="auto"/>
          <w:kern w:val="2"/>
          <w:sz w:val="32"/>
          <w:szCs w:val="24"/>
          <w:highlight w:val="none"/>
          <w:lang w:val="zh-CN"/>
        </w:rPr>
        <w:t>七、</w:t>
      </w:r>
      <w:r>
        <w:rPr>
          <w:rFonts w:hint="default" w:ascii="方正黑体简体" w:hAnsi="方正黑体简体" w:eastAsia="方正黑体简体" w:cs="方正黑体简体"/>
          <w:color w:val="auto"/>
          <w:kern w:val="2"/>
          <w:sz w:val="32"/>
          <w:szCs w:val="24"/>
          <w:highlight w:val="none"/>
          <w:lang w:val="zh-CN"/>
        </w:rPr>
        <w:t>“</w:t>
      </w:r>
      <w:r>
        <w:rPr>
          <w:rFonts w:hint="eastAsia" w:ascii="方正黑体简体" w:hAnsi="方正黑体简体" w:eastAsia="方正黑体简体" w:cs="方正黑体简体"/>
          <w:color w:val="auto"/>
          <w:kern w:val="2"/>
          <w:sz w:val="32"/>
          <w:szCs w:val="24"/>
          <w:highlight w:val="none"/>
          <w:lang w:val="zh-CN"/>
        </w:rPr>
        <w:t>三公</w:t>
      </w:r>
      <w:r>
        <w:rPr>
          <w:rFonts w:hint="default" w:ascii="方正黑体简体" w:hAnsi="方正黑体简体" w:eastAsia="方正黑体简体" w:cs="方正黑体简体"/>
          <w:color w:val="auto"/>
          <w:kern w:val="2"/>
          <w:sz w:val="32"/>
          <w:szCs w:val="24"/>
          <w:highlight w:val="none"/>
          <w:lang w:val="zh-CN"/>
        </w:rPr>
        <w:t>”</w:t>
      </w:r>
      <w:r>
        <w:rPr>
          <w:rFonts w:hint="eastAsia" w:ascii="方正黑体简体" w:hAnsi="方正黑体简体" w:eastAsia="方正黑体简体" w:cs="方正黑体简体"/>
          <w:color w:val="auto"/>
          <w:kern w:val="2"/>
          <w:sz w:val="32"/>
          <w:szCs w:val="24"/>
          <w:highlight w:val="none"/>
          <w:lang w:val="zh-CN"/>
        </w:rPr>
        <w:t>经费财政拨款支出决算情况说明</w:t>
      </w:r>
      <w:bookmarkEnd w:id="12"/>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w:t>
      </w:r>
      <w:r>
        <w:rPr>
          <w:rFonts w:hint="default"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zh-CN"/>
        </w:rPr>
        <w:t>三公</w:t>
      </w:r>
      <w:r>
        <w:rPr>
          <w:rFonts w:hint="default"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zh-CN"/>
        </w:rPr>
        <w:t>经费财政拨款支出决算总体情况说明</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zh-CN" w:eastAsia="zh-CN" w:bidi="ar-SA"/>
        </w:rPr>
        <w:t>2022年</w:t>
      </w:r>
      <w:r>
        <w:rPr>
          <w:rFonts w:hint="default" w:ascii="仿宋_GB2312" w:hAnsi="仿宋_GB2312" w:eastAsia="仿宋_GB2312" w:cs="仿宋_GB2312"/>
          <w:b w:val="0"/>
          <w:bCs w:val="0"/>
          <w:color w:val="auto"/>
          <w:spacing w:val="0"/>
          <w:kern w:val="2"/>
          <w:sz w:val="32"/>
          <w:szCs w:val="32"/>
          <w:highlight w:val="none"/>
          <w:lang w:val="zh-CN" w:eastAsia="zh-CN" w:bidi="ar-SA"/>
        </w:rPr>
        <w:t>“</w:t>
      </w:r>
      <w:r>
        <w:rPr>
          <w:rFonts w:hint="eastAsia" w:ascii="仿宋_GB2312" w:hAnsi="仿宋_GB2312" w:eastAsia="仿宋_GB2312" w:cs="仿宋_GB2312"/>
          <w:b w:val="0"/>
          <w:bCs w:val="0"/>
          <w:color w:val="auto"/>
          <w:spacing w:val="0"/>
          <w:kern w:val="2"/>
          <w:sz w:val="32"/>
          <w:szCs w:val="32"/>
          <w:highlight w:val="none"/>
          <w:lang w:val="zh-CN" w:eastAsia="zh-CN" w:bidi="ar-SA"/>
        </w:rPr>
        <w:t>三公</w:t>
      </w:r>
      <w:r>
        <w:rPr>
          <w:rFonts w:hint="default" w:ascii="仿宋_GB2312" w:hAnsi="仿宋_GB2312" w:eastAsia="仿宋_GB2312" w:cs="仿宋_GB2312"/>
          <w:b w:val="0"/>
          <w:bCs w:val="0"/>
          <w:color w:val="auto"/>
          <w:spacing w:val="0"/>
          <w:kern w:val="2"/>
          <w:sz w:val="32"/>
          <w:szCs w:val="32"/>
          <w:highlight w:val="none"/>
          <w:lang w:val="zh-CN" w:eastAsia="zh-CN" w:bidi="ar-SA"/>
        </w:rPr>
        <w:t>”</w:t>
      </w:r>
      <w:r>
        <w:rPr>
          <w:rFonts w:hint="eastAsia" w:ascii="仿宋_GB2312" w:hAnsi="仿宋_GB2312" w:eastAsia="仿宋_GB2312" w:cs="仿宋_GB2312"/>
          <w:b w:val="0"/>
          <w:bCs w:val="0"/>
          <w:color w:val="auto"/>
          <w:spacing w:val="0"/>
          <w:kern w:val="2"/>
          <w:sz w:val="32"/>
          <w:szCs w:val="32"/>
          <w:highlight w:val="none"/>
          <w:lang w:val="zh-CN" w:eastAsia="zh-CN" w:bidi="ar-SA"/>
        </w:rPr>
        <w:t>经费财政拨款支出决算为9.49万元，完成</w:t>
      </w:r>
      <w:r>
        <w:rPr>
          <w:rFonts w:hint="eastAsia" w:ascii="仿宋_GB2312" w:hAnsi="仿宋_GB2312" w:eastAsia="仿宋_GB2312" w:cs="仿宋_GB2312"/>
          <w:b w:val="0"/>
          <w:bCs w:val="0"/>
          <w:color w:val="auto"/>
          <w:spacing w:val="0"/>
          <w:kern w:val="2"/>
          <w:sz w:val="32"/>
          <w:szCs w:val="32"/>
          <w:highlight w:val="none"/>
          <w:lang w:val="en-US" w:eastAsia="zh-CN" w:bidi="ar-SA"/>
        </w:rPr>
        <w:t>年初</w:t>
      </w:r>
      <w:r>
        <w:rPr>
          <w:rFonts w:hint="eastAsia" w:ascii="仿宋_GB2312" w:hAnsi="仿宋_GB2312" w:eastAsia="仿宋_GB2312" w:cs="仿宋_GB2312"/>
          <w:b w:val="0"/>
          <w:bCs w:val="0"/>
          <w:color w:val="auto"/>
          <w:spacing w:val="0"/>
          <w:kern w:val="2"/>
          <w:sz w:val="32"/>
          <w:szCs w:val="32"/>
          <w:highlight w:val="none"/>
          <w:lang w:val="zh-CN" w:eastAsia="zh-CN" w:bidi="ar-SA"/>
        </w:rPr>
        <w:t>预算</w:t>
      </w:r>
      <w:r>
        <w:rPr>
          <w:rFonts w:hint="eastAsia" w:ascii="仿宋_GB2312" w:hAnsi="仿宋_GB2312" w:eastAsia="仿宋_GB2312" w:cs="仿宋_GB2312"/>
          <w:b w:val="0"/>
          <w:bCs w:val="0"/>
          <w:color w:val="auto"/>
          <w:spacing w:val="0"/>
          <w:kern w:val="2"/>
          <w:sz w:val="32"/>
          <w:szCs w:val="32"/>
          <w:highlight w:val="none"/>
          <w:lang w:val="en-US" w:eastAsia="zh-CN" w:bidi="ar-SA"/>
        </w:rPr>
        <w:t>的</w:t>
      </w:r>
      <w:r>
        <w:rPr>
          <w:rFonts w:hint="eastAsia" w:ascii="仿宋_GB2312" w:hAnsi="仿宋_GB2312" w:eastAsia="仿宋_GB2312" w:cs="仿宋_GB2312"/>
          <w:b w:val="0"/>
          <w:bCs w:val="0"/>
          <w:color w:val="auto"/>
          <w:spacing w:val="0"/>
          <w:kern w:val="2"/>
          <w:sz w:val="32"/>
          <w:szCs w:val="32"/>
          <w:highlight w:val="none"/>
          <w:lang w:val="zh-CN" w:eastAsia="zh-CN" w:bidi="ar-SA"/>
        </w:rPr>
        <w:t>79.1%；较上年减少4.93万元，下降34.</w:t>
      </w:r>
      <w:r>
        <w:rPr>
          <w:rFonts w:hint="eastAsia" w:ascii="仿宋_GB2312" w:hAnsi="仿宋_GB2312" w:eastAsia="仿宋_GB2312" w:cs="仿宋_GB2312"/>
          <w:b w:val="0"/>
          <w:bCs w:val="0"/>
          <w:color w:val="auto"/>
          <w:spacing w:val="0"/>
          <w:kern w:val="2"/>
          <w:sz w:val="32"/>
          <w:szCs w:val="32"/>
          <w:highlight w:val="none"/>
          <w:lang w:val="en-US" w:eastAsia="zh-CN" w:bidi="ar-SA"/>
        </w:rPr>
        <w:t>19</w:t>
      </w:r>
      <w:r>
        <w:rPr>
          <w:rFonts w:hint="eastAsia" w:ascii="仿宋_GB2312" w:hAnsi="仿宋_GB2312" w:eastAsia="仿宋_GB2312" w:cs="仿宋_GB2312"/>
          <w:b w:val="0"/>
          <w:bCs w:val="0"/>
          <w:color w:val="auto"/>
          <w:spacing w:val="0"/>
          <w:kern w:val="2"/>
          <w:sz w:val="32"/>
          <w:szCs w:val="32"/>
          <w:highlight w:val="none"/>
          <w:lang w:val="zh-CN" w:eastAsia="zh-CN" w:bidi="ar-SA"/>
        </w:rPr>
        <w:t>%。决算数小于</w:t>
      </w:r>
      <w:r>
        <w:rPr>
          <w:rFonts w:hint="eastAsia" w:ascii="仿宋_GB2312" w:hAnsi="仿宋_GB2312" w:eastAsia="仿宋_GB2312" w:cs="仿宋_GB2312"/>
          <w:b w:val="0"/>
          <w:bCs w:val="0"/>
          <w:color w:val="auto"/>
          <w:spacing w:val="0"/>
          <w:kern w:val="2"/>
          <w:sz w:val="32"/>
          <w:szCs w:val="32"/>
          <w:highlight w:val="none"/>
          <w:lang w:val="en-US" w:eastAsia="zh-CN" w:bidi="ar-SA"/>
        </w:rPr>
        <w:t>年初</w:t>
      </w:r>
      <w:r>
        <w:rPr>
          <w:rFonts w:hint="eastAsia" w:ascii="仿宋_GB2312" w:hAnsi="仿宋_GB2312" w:eastAsia="仿宋_GB2312" w:cs="仿宋_GB2312"/>
          <w:b w:val="0"/>
          <w:bCs w:val="0"/>
          <w:color w:val="auto"/>
          <w:spacing w:val="0"/>
          <w:kern w:val="2"/>
          <w:sz w:val="32"/>
          <w:szCs w:val="32"/>
          <w:highlight w:val="none"/>
          <w:lang w:val="zh-CN" w:eastAsia="zh-CN" w:bidi="ar-SA"/>
        </w:rPr>
        <w:t>预算数的主要原因是</w:t>
      </w:r>
      <w:r>
        <w:rPr>
          <w:rFonts w:hint="eastAsia" w:ascii="仿宋_GB2312" w:hAnsi="仿宋_GB2312" w:eastAsia="仿宋_GB2312" w:cs="仿宋_GB2312"/>
          <w:b w:val="0"/>
          <w:bCs w:val="0"/>
          <w:color w:val="auto"/>
          <w:spacing w:val="0"/>
          <w:kern w:val="2"/>
          <w:sz w:val="32"/>
          <w:szCs w:val="32"/>
          <w:highlight w:val="none"/>
          <w:lang w:val="en-US" w:eastAsia="zh-CN" w:bidi="ar-SA"/>
        </w:rPr>
        <w:t>倡导厉行节约，精简开支，规范公务接待，严格控制公务接待标准和陪餐人数。</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w:t>
      </w:r>
      <w:r>
        <w:rPr>
          <w:rFonts w:hint="default"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zh-CN"/>
        </w:rPr>
        <w:t>三公</w:t>
      </w:r>
      <w:r>
        <w:rPr>
          <w:rFonts w:hint="default"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zh-CN"/>
        </w:rPr>
        <w:t>经费财政拨款支出决算具体情况说明</w:t>
      </w:r>
    </w:p>
    <w:p>
      <w:pPr>
        <w:shd w:val="clear" w:color="000000" w:fill="auto"/>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s="仿宋_GB2312"/>
          <w:b w:val="0"/>
          <w:bCs w:val="0"/>
          <w:color w:val="auto"/>
          <w:spacing w:val="0"/>
          <w:kern w:val="2"/>
          <w:sz w:val="32"/>
          <w:szCs w:val="32"/>
          <w:highlight w:val="none"/>
          <w:lang w:val="zh-CN" w:eastAsia="zh-CN" w:bidi="ar-SA"/>
        </w:rPr>
        <w:t>2022年</w:t>
      </w:r>
      <w:r>
        <w:rPr>
          <w:rFonts w:hint="default" w:ascii="仿宋_GB2312" w:hAnsi="仿宋_GB2312" w:eastAsia="仿宋_GB2312" w:cs="仿宋_GB2312"/>
          <w:b w:val="0"/>
          <w:bCs w:val="0"/>
          <w:color w:val="auto"/>
          <w:spacing w:val="0"/>
          <w:kern w:val="2"/>
          <w:sz w:val="32"/>
          <w:szCs w:val="32"/>
          <w:highlight w:val="none"/>
          <w:lang w:val="zh-CN" w:eastAsia="zh-CN" w:bidi="ar-SA"/>
        </w:rPr>
        <w:t>“</w:t>
      </w:r>
      <w:r>
        <w:rPr>
          <w:rFonts w:hint="eastAsia" w:ascii="仿宋_GB2312" w:hAnsi="仿宋_GB2312" w:eastAsia="仿宋_GB2312" w:cs="仿宋_GB2312"/>
          <w:b w:val="0"/>
          <w:bCs w:val="0"/>
          <w:color w:val="auto"/>
          <w:spacing w:val="0"/>
          <w:kern w:val="2"/>
          <w:sz w:val="32"/>
          <w:szCs w:val="32"/>
          <w:highlight w:val="none"/>
          <w:lang w:val="zh-CN" w:eastAsia="zh-CN" w:bidi="ar-SA"/>
        </w:rPr>
        <w:t>三公</w:t>
      </w:r>
      <w:r>
        <w:rPr>
          <w:rFonts w:hint="default" w:ascii="仿宋_GB2312" w:hAnsi="仿宋_GB2312" w:eastAsia="仿宋_GB2312" w:cs="仿宋_GB2312"/>
          <w:b w:val="0"/>
          <w:bCs w:val="0"/>
          <w:color w:val="auto"/>
          <w:spacing w:val="0"/>
          <w:kern w:val="2"/>
          <w:sz w:val="32"/>
          <w:szCs w:val="32"/>
          <w:highlight w:val="none"/>
          <w:lang w:val="zh-CN" w:eastAsia="zh-CN" w:bidi="ar-SA"/>
        </w:rPr>
        <w:t>”</w:t>
      </w:r>
      <w:r>
        <w:rPr>
          <w:rFonts w:hint="eastAsia" w:ascii="仿宋_GB2312" w:hAnsi="仿宋_GB2312" w:eastAsia="仿宋_GB2312" w:cs="仿宋_GB2312"/>
          <w:b w:val="0"/>
          <w:bCs w:val="0"/>
          <w:color w:val="auto"/>
          <w:spacing w:val="0"/>
          <w:kern w:val="2"/>
          <w:sz w:val="32"/>
          <w:szCs w:val="32"/>
          <w:highlight w:val="none"/>
          <w:lang w:val="zh-CN" w:eastAsia="zh-CN" w:bidi="ar-SA"/>
        </w:rPr>
        <w:t>经费财政拨款支出决算中，因公出国（境）费支出决算0万元，占0%；公务用车购置及运行维护费支出决算9万元，占94.8</w:t>
      </w:r>
      <w:r>
        <w:rPr>
          <w:rFonts w:hint="eastAsia" w:ascii="仿宋_GB2312" w:hAnsi="仿宋_GB2312" w:eastAsia="仿宋_GB2312" w:cs="仿宋_GB2312"/>
          <w:b w:val="0"/>
          <w:bCs w:val="0"/>
          <w:color w:val="auto"/>
          <w:spacing w:val="0"/>
          <w:kern w:val="2"/>
          <w:sz w:val="32"/>
          <w:szCs w:val="32"/>
          <w:highlight w:val="none"/>
          <w:lang w:val="en-US" w:eastAsia="zh-CN" w:bidi="ar-SA"/>
        </w:rPr>
        <w:t>4</w:t>
      </w:r>
      <w:r>
        <w:rPr>
          <w:rFonts w:hint="eastAsia" w:ascii="仿宋_GB2312" w:hAnsi="仿宋_GB2312" w:eastAsia="仿宋_GB2312" w:cs="仿宋_GB2312"/>
          <w:b w:val="0"/>
          <w:bCs w:val="0"/>
          <w:color w:val="auto"/>
          <w:spacing w:val="0"/>
          <w:kern w:val="2"/>
          <w:sz w:val="32"/>
          <w:szCs w:val="32"/>
          <w:highlight w:val="none"/>
          <w:lang w:val="zh-CN" w:eastAsia="zh-CN" w:bidi="ar-SA"/>
        </w:rPr>
        <w:t>%；公务接待费支出决算0.49万元，占5.</w:t>
      </w:r>
      <w:r>
        <w:rPr>
          <w:rFonts w:hint="eastAsia" w:ascii="仿宋_GB2312" w:hAnsi="仿宋_GB2312" w:eastAsia="仿宋_GB2312" w:cs="仿宋_GB2312"/>
          <w:b w:val="0"/>
          <w:bCs w:val="0"/>
          <w:color w:val="auto"/>
          <w:spacing w:val="0"/>
          <w:kern w:val="2"/>
          <w:sz w:val="32"/>
          <w:szCs w:val="32"/>
          <w:highlight w:val="none"/>
          <w:lang w:val="en-US" w:eastAsia="zh-CN" w:bidi="ar-SA"/>
        </w:rPr>
        <w:t>16</w:t>
      </w:r>
      <w:r>
        <w:rPr>
          <w:rFonts w:hint="eastAsia" w:ascii="仿宋_GB2312" w:hAnsi="仿宋_GB2312" w:eastAsia="仿宋_GB2312" w:cs="仿宋_GB2312"/>
          <w:b w:val="0"/>
          <w:bCs w:val="0"/>
          <w:color w:val="auto"/>
          <w:spacing w:val="0"/>
          <w:kern w:val="2"/>
          <w:sz w:val="32"/>
          <w:szCs w:val="32"/>
          <w:highlight w:val="none"/>
          <w:lang w:val="zh-CN" w:eastAsia="zh-CN" w:bidi="ar-SA"/>
        </w:rPr>
        <w:t>%。具体情况如下：</w:t>
      </w:r>
    </w:p>
    <w:p>
      <w:pPr>
        <w:shd w:val="clear" w:color="000000" w:fill="auto"/>
        <w:spacing w:beforeLines="0" w:afterLines="0" w:line="600" w:lineRule="exact"/>
        <w:jc w:val="both"/>
        <w:rPr>
          <w:rFonts w:hint="eastAsia" w:ascii="仿宋" w:hAnsi="仿宋" w:eastAsia="仿宋"/>
          <w:color w:val="auto"/>
          <w:kern w:val="2"/>
          <w:sz w:val="32"/>
          <w:szCs w:val="24"/>
          <w:highlight w:val="none"/>
          <w:lang w:val="en-US" w:eastAsia="zh-CN"/>
        </w:rPr>
      </w:pPr>
      <w:r>
        <w:rPr>
          <w:rFonts w:hint="eastAsia" w:ascii="仿宋" w:hAnsi="仿宋" w:eastAsia="仿宋" w:cs="黑体"/>
          <w:color w:val="auto"/>
          <w:kern w:val="2"/>
          <w:sz w:val="32"/>
          <w:szCs w:val="24"/>
          <w:highlight w:val="none"/>
          <w:lang w:val="en-US" w:eastAsia="zh-CN" w:bidi="ar-SA"/>
        </w:rPr>
        <w:pict>
          <v:shape id="图表 11" o:spid="_x0000_s1033" type="#_x0000_t75" style="position:absolute;left:0;margin-left:8.55pt;margin-top:4.85pt;height:243.4pt;width:425.75pt;rotation:0f;z-index:251660288;" o:ole="f" fillcolor="#FFFFFF" filled="f" o:preferrelative="t" stroked="f" coordorigin="0,0" coordsize="21600,21600">
            <v:fill on="f" color2="#FFFFFF" focus="0%"/>
            <v:imagedata gain="65536f" blacklevel="0f" gamma="0" o:title="" r:id="rId15"/>
            <o:lock v:ext="edit" position="f" selection="f" grouping="f" rotation="f" cropping="f" text="f" aspectratio="t"/>
          </v:shape>
        </w:pict>
      </w:r>
    </w:p>
    <w:p>
      <w:pPr>
        <w:pStyle w:val="6"/>
        <w:shd w:val="clear" w:color="010000" w:fill="auto"/>
        <w:rPr>
          <w:rFonts w:hint="eastAsia" w:ascii="仿宋" w:hAnsi="仿宋" w:eastAsia="仿宋"/>
          <w:color w:val="auto"/>
          <w:kern w:val="2"/>
          <w:sz w:val="32"/>
          <w:szCs w:val="24"/>
          <w:highlight w:val="none"/>
          <w:lang w:val="en-US"/>
        </w:rPr>
      </w:pPr>
    </w:p>
    <w:p>
      <w:pPr>
        <w:pStyle w:val="6"/>
        <w:shd w:val="clear" w:color="010000" w:fill="auto"/>
        <w:rPr>
          <w:rFonts w:hint="eastAsia" w:ascii="仿宋" w:hAnsi="仿宋" w:eastAsia="仿宋"/>
          <w:color w:val="auto"/>
          <w:kern w:val="2"/>
          <w:sz w:val="32"/>
          <w:szCs w:val="24"/>
          <w:highlight w:val="none"/>
          <w:lang w:val="en-US"/>
        </w:rPr>
      </w:pPr>
    </w:p>
    <w:p>
      <w:pPr>
        <w:pStyle w:val="6"/>
        <w:shd w:val="clear" w:color="010000" w:fill="auto"/>
        <w:rPr>
          <w:rFonts w:hint="eastAsia" w:ascii="仿宋" w:hAnsi="仿宋" w:eastAsia="仿宋"/>
          <w:color w:val="auto"/>
          <w:kern w:val="2"/>
          <w:sz w:val="32"/>
          <w:szCs w:val="24"/>
          <w:highlight w:val="none"/>
          <w:lang w:val="en-US"/>
        </w:rPr>
      </w:pPr>
    </w:p>
    <w:p>
      <w:pPr>
        <w:pStyle w:val="6"/>
        <w:shd w:val="clear" w:color="010000" w:fill="auto"/>
        <w:rPr>
          <w:rFonts w:hint="eastAsia" w:ascii="仿宋" w:hAnsi="仿宋" w:eastAsia="仿宋"/>
          <w:color w:val="auto"/>
          <w:kern w:val="2"/>
          <w:sz w:val="32"/>
          <w:szCs w:val="24"/>
          <w:highlight w:val="none"/>
          <w:lang w:val="en-US"/>
        </w:rPr>
      </w:pPr>
    </w:p>
    <w:p>
      <w:pPr>
        <w:pStyle w:val="6"/>
        <w:shd w:val="clear" w:color="010000" w:fill="auto"/>
        <w:rPr>
          <w:rFonts w:hint="eastAsia" w:ascii="仿宋" w:hAnsi="仿宋" w:eastAsia="仿宋"/>
          <w:color w:val="auto"/>
          <w:kern w:val="2"/>
          <w:sz w:val="32"/>
          <w:szCs w:val="24"/>
          <w:highlight w:val="none"/>
          <w:lang w:val="en-US"/>
        </w:rPr>
      </w:pPr>
    </w:p>
    <w:p>
      <w:pPr>
        <w:pStyle w:val="6"/>
        <w:shd w:val="clear" w:color="010000" w:fill="auto"/>
        <w:rPr>
          <w:rFonts w:hint="eastAsia" w:ascii="仿宋" w:hAnsi="仿宋" w:eastAsia="仿宋"/>
          <w:color w:val="auto"/>
          <w:kern w:val="2"/>
          <w:sz w:val="32"/>
          <w:szCs w:val="24"/>
          <w:highlight w:val="none"/>
          <w:lang w:val="en-US"/>
        </w:rPr>
      </w:pPr>
    </w:p>
    <w:p>
      <w:pPr>
        <w:pStyle w:val="6"/>
        <w:shd w:val="clear" w:color="010000" w:fill="auto"/>
        <w:rPr>
          <w:rFonts w:hint="eastAsia" w:ascii="仿宋" w:hAnsi="仿宋" w:eastAsia="仿宋"/>
          <w:color w:val="auto"/>
          <w:kern w:val="2"/>
          <w:sz w:val="32"/>
          <w:szCs w:val="24"/>
          <w:highlight w:val="none"/>
          <w:lang w:val="en-US"/>
        </w:rPr>
      </w:pPr>
    </w:p>
    <w:p>
      <w:pPr>
        <w:shd w:val="clear" w:color="000000" w:fill="auto"/>
        <w:spacing w:beforeLines="0" w:afterLines="0" w:line="600" w:lineRule="exact"/>
        <w:ind w:firstLine="640"/>
        <w:jc w:val="both"/>
        <w:rPr>
          <w:rFonts w:hint="eastAsia" w:ascii="仿宋" w:hAnsi="仿宋" w:eastAsia="仿宋"/>
          <w:color w:val="auto"/>
          <w:kern w:val="2"/>
          <w:sz w:val="32"/>
          <w:szCs w:val="24"/>
          <w:highlight w:val="none"/>
          <w:lang w:val="en-US"/>
        </w:rPr>
      </w:pPr>
    </w:p>
    <w:p>
      <w:pPr>
        <w:widowControl w:val="0"/>
        <w:shd w:val="clear" w:color="040000" w:fill="auto"/>
        <w:wordWrap/>
        <w:adjustRightInd/>
        <w:snapToGrid/>
        <w:spacing w:line="550" w:lineRule="exact"/>
        <w:ind w:firstLine="643"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仿宋_GB2312" w:hAnsi="仿宋_GB2312" w:eastAsia="仿宋_GB2312"/>
          <w:b/>
          <w:color w:val="auto"/>
          <w:kern w:val="2"/>
          <w:sz w:val="32"/>
          <w:szCs w:val="24"/>
          <w:highlight w:val="none"/>
          <w:lang w:val="zh-CN"/>
        </w:rPr>
        <w:t>1.因公出国（境）经费</w:t>
      </w:r>
      <w:r>
        <w:rPr>
          <w:rFonts w:hint="eastAsia" w:ascii="仿宋_GB2312" w:hAnsi="仿宋_GB2312" w:eastAsia="仿宋_GB2312"/>
          <w:color w:val="auto"/>
          <w:kern w:val="2"/>
          <w:sz w:val="32"/>
          <w:szCs w:val="24"/>
          <w:highlight w:val="none"/>
          <w:lang w:val="zh-CN"/>
        </w:rPr>
        <w:t>支出0万元，</w:t>
      </w:r>
      <w:r>
        <w:rPr>
          <w:rFonts w:hint="eastAsia" w:ascii="Times New Roman" w:hAnsi="Times New Roman" w:eastAsia="仿宋_GB2312" w:cs="Times New Roman"/>
          <w:b w:val="0"/>
          <w:bCs w:val="0"/>
          <w:color w:val="auto"/>
          <w:spacing w:val="0"/>
          <w:sz w:val="32"/>
          <w:szCs w:val="32"/>
          <w:highlight w:val="none"/>
        </w:rPr>
        <w:t>年初未安排预算。因公出国（境）支出决算较202</w:t>
      </w:r>
      <w:r>
        <w:rPr>
          <w:rFonts w:hint="eastAsia" w:ascii="Times New Roman" w:hAnsi="Times New Roman"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rPr>
        <w:t>年无变化。</w:t>
      </w:r>
    </w:p>
    <w:p>
      <w:pPr>
        <w:widowControl w:val="0"/>
        <w:shd w:val="clear" w:color="040000" w:fill="auto"/>
        <w:wordWrap/>
        <w:adjustRightInd/>
        <w:snapToGrid/>
        <w:spacing w:line="550" w:lineRule="exact"/>
        <w:ind w:firstLine="643" w:firstLineChars="200"/>
        <w:textAlignment w:val="auto"/>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2.公务用车购置及运行维护费</w:t>
      </w:r>
      <w:r>
        <w:rPr>
          <w:rFonts w:hint="eastAsia" w:ascii="仿宋_GB2312" w:hAnsi="仿宋_GB2312" w:eastAsia="仿宋_GB2312"/>
          <w:color w:val="auto"/>
          <w:kern w:val="2"/>
          <w:sz w:val="32"/>
          <w:szCs w:val="24"/>
          <w:highlight w:val="none"/>
          <w:lang w:val="zh-CN"/>
        </w:rPr>
        <w:t>支出9万元，完成预算100%。公务用车购置及运行维护费支出决算比2021年减少4.02万元，下降30.</w:t>
      </w:r>
      <w:r>
        <w:rPr>
          <w:rFonts w:hint="eastAsia" w:ascii="仿宋_GB2312" w:hAnsi="仿宋_GB2312" w:eastAsia="仿宋_GB2312"/>
          <w:color w:val="auto"/>
          <w:kern w:val="2"/>
          <w:sz w:val="32"/>
          <w:szCs w:val="24"/>
          <w:highlight w:val="none"/>
          <w:lang w:val="en-US" w:eastAsia="zh-CN"/>
        </w:rPr>
        <w:t>88</w:t>
      </w:r>
      <w:r>
        <w:rPr>
          <w:rFonts w:hint="eastAsia" w:ascii="仿宋_GB2312" w:hAnsi="仿宋_GB2312" w:eastAsia="仿宋_GB2312"/>
          <w:color w:val="auto"/>
          <w:kern w:val="2"/>
          <w:sz w:val="32"/>
          <w:szCs w:val="24"/>
          <w:highlight w:val="none"/>
          <w:lang w:val="zh-CN"/>
        </w:rPr>
        <w:t>%。主要原因</w:t>
      </w:r>
      <w:r>
        <w:rPr>
          <w:rFonts w:hint="eastAsia" w:ascii="Times New Roman" w:hAnsi="Times New Roman" w:eastAsia="仿宋_GB2312" w:cs="Times New Roman"/>
          <w:b w:val="0"/>
          <w:bCs w:val="0"/>
          <w:color w:val="auto"/>
          <w:spacing w:val="0"/>
          <w:sz w:val="32"/>
          <w:szCs w:val="32"/>
          <w:highlight w:val="none"/>
        </w:rPr>
        <w:t>是</w:t>
      </w:r>
      <w:r>
        <w:rPr>
          <w:rFonts w:hint="eastAsia" w:ascii="Times New Roman" w:hAnsi="Times New Roman" w:eastAsia="仿宋_GB2312" w:cs="Times New Roman"/>
          <w:b w:val="0"/>
          <w:bCs w:val="0"/>
          <w:color w:val="auto"/>
          <w:spacing w:val="0"/>
          <w:sz w:val="32"/>
          <w:szCs w:val="32"/>
          <w:highlight w:val="none"/>
          <w:lang w:val="en-US" w:eastAsia="zh-CN"/>
        </w:rPr>
        <w:t>厉行节约，压缩公务用车开支。</w:t>
      </w:r>
    </w:p>
    <w:p>
      <w:pPr>
        <w:widowControl w:val="0"/>
        <w:shd w:val="clear" w:color="040000" w:fill="auto"/>
        <w:wordWrap/>
        <w:adjustRightInd/>
        <w:snapToGrid/>
        <w:spacing w:line="550"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olor w:val="auto"/>
          <w:kern w:val="2"/>
          <w:sz w:val="32"/>
          <w:szCs w:val="24"/>
          <w:highlight w:val="none"/>
          <w:lang w:val="zh-CN"/>
        </w:rPr>
        <w:t>其中：</w:t>
      </w:r>
      <w:r>
        <w:rPr>
          <w:rFonts w:hint="eastAsia" w:ascii="仿宋_GB2312" w:hAnsi="仿宋_GB2312" w:eastAsia="仿宋_GB2312"/>
          <w:b/>
          <w:color w:val="auto"/>
          <w:kern w:val="2"/>
          <w:sz w:val="32"/>
          <w:szCs w:val="24"/>
          <w:highlight w:val="none"/>
          <w:lang w:val="zh-CN"/>
        </w:rPr>
        <w:t>公务用车购置费</w:t>
      </w:r>
      <w:r>
        <w:rPr>
          <w:rFonts w:hint="eastAsia" w:ascii="仿宋_GB2312" w:hAnsi="仿宋_GB2312" w:eastAsia="仿宋_GB2312"/>
          <w:color w:val="auto"/>
          <w:kern w:val="2"/>
          <w:sz w:val="32"/>
          <w:szCs w:val="24"/>
          <w:highlight w:val="none"/>
          <w:lang w:val="zh-CN"/>
        </w:rPr>
        <w:t>支出0万元。全年按规定更新购置公</w:t>
      </w:r>
      <w:r>
        <w:rPr>
          <w:rFonts w:hint="eastAsia" w:ascii="仿宋_GB2312" w:hAnsi="仿宋_GB2312" w:eastAsia="仿宋_GB2312" w:cs="仿宋_GB2312"/>
          <w:b w:val="0"/>
          <w:bCs w:val="0"/>
          <w:color w:val="auto"/>
          <w:spacing w:val="0"/>
          <w:kern w:val="2"/>
          <w:sz w:val="32"/>
          <w:szCs w:val="32"/>
          <w:highlight w:val="none"/>
          <w:lang w:val="zh-CN" w:eastAsia="zh-CN" w:bidi="ar-SA"/>
        </w:rPr>
        <w:t>务用车0辆。</w:t>
      </w:r>
      <w:r>
        <w:rPr>
          <w:rFonts w:hint="eastAsia" w:ascii="仿宋_GB2312" w:hAnsi="仿宋_GB2312" w:eastAsia="仿宋_GB2312" w:cs="仿宋_GB2312"/>
          <w:b w:val="0"/>
          <w:bCs w:val="0"/>
          <w:color w:val="auto"/>
          <w:spacing w:val="0"/>
          <w:kern w:val="2"/>
          <w:sz w:val="32"/>
          <w:szCs w:val="32"/>
          <w:highlight w:val="none"/>
          <w:lang w:val="en-US" w:eastAsia="zh-CN" w:bidi="ar-SA"/>
        </w:rPr>
        <w:t>截至2022年12月底，单位共有公务用车1辆，其中：越野车1辆。</w:t>
      </w:r>
    </w:p>
    <w:p>
      <w:pPr>
        <w:keepNext/>
        <w:keepLines/>
        <w:shd w:val="clear" w:color="020000" w:fill="auto"/>
        <w:spacing w:beforeLines="0" w:afterLines="0" w:line="576" w:lineRule="exact"/>
        <w:ind w:firstLine="643"/>
        <w:jc w:val="both"/>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b/>
          <w:color w:val="auto"/>
          <w:kern w:val="2"/>
          <w:sz w:val="32"/>
          <w:szCs w:val="24"/>
          <w:highlight w:val="none"/>
          <w:lang w:val="zh-CN"/>
        </w:rPr>
        <w:t>公务用车运行维护费</w:t>
      </w:r>
      <w:r>
        <w:rPr>
          <w:rFonts w:hint="eastAsia" w:ascii="仿宋_GB2312" w:hAnsi="仿宋_GB2312" w:eastAsia="仿宋_GB2312"/>
          <w:color w:val="auto"/>
          <w:kern w:val="2"/>
          <w:sz w:val="32"/>
          <w:szCs w:val="24"/>
          <w:highlight w:val="none"/>
          <w:lang w:val="zh-CN"/>
        </w:rPr>
        <w:t>支</w:t>
      </w:r>
      <w:r>
        <w:rPr>
          <w:rFonts w:hint="eastAsia" w:ascii="仿宋_GB2312" w:hAnsi="仿宋_GB2312" w:eastAsia="仿宋_GB2312" w:cs="仿宋_GB2312"/>
          <w:b w:val="0"/>
          <w:bCs w:val="0"/>
          <w:color w:val="auto"/>
          <w:spacing w:val="0"/>
          <w:kern w:val="2"/>
          <w:sz w:val="32"/>
          <w:szCs w:val="32"/>
          <w:highlight w:val="none"/>
          <w:lang w:val="zh-CN" w:eastAsia="zh-CN" w:bidi="ar-SA"/>
        </w:rPr>
        <w:t>出9万元。</w:t>
      </w:r>
      <w:r>
        <w:rPr>
          <w:rFonts w:hint="eastAsia" w:ascii="仿宋_GB2312" w:hAnsi="仿宋_GB2312" w:eastAsia="仿宋_GB2312" w:cs="仿宋_GB2312"/>
          <w:b w:val="0"/>
          <w:bCs w:val="0"/>
          <w:color w:val="auto"/>
          <w:spacing w:val="0"/>
          <w:kern w:val="2"/>
          <w:sz w:val="32"/>
          <w:szCs w:val="32"/>
          <w:highlight w:val="none"/>
          <w:lang w:val="en-US" w:eastAsia="zh-CN" w:bidi="ar-SA"/>
        </w:rPr>
        <w:t>主要用于城市管理工作、城乡环境综合治理、爱国卫生等检查暗访、调研等所需的公务用车燃料费、维修费、过路过桥费、保险费等支出</w:t>
      </w:r>
      <w:r>
        <w:rPr>
          <w:rFonts w:hint="eastAsia" w:ascii="仿宋_GB2312" w:hAnsi="仿宋_GB2312" w:eastAsia="仿宋_GB2312" w:cs="仿宋_GB2312"/>
          <w:b w:val="0"/>
          <w:bCs w:val="0"/>
          <w:color w:val="auto"/>
          <w:spacing w:val="0"/>
          <w:kern w:val="2"/>
          <w:sz w:val="32"/>
          <w:szCs w:val="32"/>
          <w:highlight w:val="none"/>
          <w:lang w:val="zh-CN" w:eastAsia="zh-CN" w:bidi="ar-SA"/>
        </w:rPr>
        <w:t>。</w:t>
      </w:r>
    </w:p>
    <w:p>
      <w:pPr>
        <w:shd w:val="clear" w:color="000000" w:fill="auto"/>
        <w:spacing w:line="576" w:lineRule="exact"/>
        <w:ind w:firstLine="643" w:firstLineChars="20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3.公务接待费</w:t>
      </w:r>
      <w:r>
        <w:rPr>
          <w:rFonts w:hint="eastAsia" w:ascii="仿宋_GB2312" w:hAnsi="仿宋_GB2312" w:eastAsia="仿宋_GB2312"/>
          <w:color w:val="auto"/>
          <w:kern w:val="2"/>
          <w:sz w:val="32"/>
          <w:szCs w:val="24"/>
          <w:highlight w:val="none"/>
          <w:lang w:val="zh-CN"/>
        </w:rPr>
        <w:t>支出0.49万元，完成</w:t>
      </w:r>
      <w:r>
        <w:rPr>
          <w:rFonts w:hint="eastAsia" w:ascii="仿宋_GB2312" w:hAnsi="仿宋_GB2312" w:eastAsia="仿宋_GB2312"/>
          <w:color w:val="auto"/>
          <w:kern w:val="2"/>
          <w:sz w:val="32"/>
          <w:szCs w:val="24"/>
          <w:highlight w:val="none"/>
          <w:lang w:val="en-US" w:eastAsia="zh-CN"/>
        </w:rPr>
        <w:t>年初</w:t>
      </w:r>
      <w:r>
        <w:rPr>
          <w:rFonts w:hint="eastAsia" w:ascii="仿宋_GB2312" w:hAnsi="仿宋_GB2312" w:eastAsia="仿宋_GB2312"/>
          <w:color w:val="auto"/>
          <w:kern w:val="2"/>
          <w:sz w:val="32"/>
          <w:szCs w:val="24"/>
          <w:highlight w:val="none"/>
          <w:lang w:val="zh-CN"/>
        </w:rPr>
        <w:t>预算</w:t>
      </w:r>
      <w:r>
        <w:rPr>
          <w:rFonts w:hint="eastAsia" w:ascii="仿宋_GB2312" w:hAnsi="仿宋_GB2312" w:eastAsia="仿宋_GB2312"/>
          <w:color w:val="auto"/>
          <w:kern w:val="2"/>
          <w:sz w:val="32"/>
          <w:szCs w:val="24"/>
          <w:highlight w:val="none"/>
          <w:lang w:val="en-US" w:eastAsia="zh-CN"/>
        </w:rPr>
        <w:t>的</w:t>
      </w:r>
      <w:r>
        <w:rPr>
          <w:rFonts w:hint="eastAsia" w:ascii="仿宋_GB2312" w:hAnsi="仿宋_GB2312" w:eastAsia="仿宋_GB2312"/>
          <w:color w:val="auto"/>
          <w:kern w:val="2"/>
          <w:sz w:val="32"/>
          <w:szCs w:val="24"/>
          <w:highlight w:val="none"/>
          <w:lang w:val="zh-CN"/>
        </w:rPr>
        <w:t>16.3</w:t>
      </w:r>
      <w:r>
        <w:rPr>
          <w:rFonts w:hint="eastAsia" w:ascii="仿宋_GB2312" w:hAnsi="仿宋_GB2312" w:eastAsia="仿宋_GB2312"/>
          <w:color w:val="auto"/>
          <w:kern w:val="2"/>
          <w:sz w:val="32"/>
          <w:szCs w:val="24"/>
          <w:highlight w:val="none"/>
          <w:lang w:val="en-US" w:eastAsia="zh-CN"/>
        </w:rPr>
        <w:t>3</w:t>
      </w:r>
      <w:r>
        <w:rPr>
          <w:rFonts w:hint="eastAsia" w:ascii="仿宋_GB2312" w:hAnsi="仿宋_GB2312" w:eastAsia="仿宋_GB2312"/>
          <w:color w:val="auto"/>
          <w:kern w:val="2"/>
          <w:sz w:val="32"/>
          <w:szCs w:val="24"/>
          <w:highlight w:val="none"/>
          <w:lang w:val="zh-CN"/>
        </w:rPr>
        <w:t>%。公务接待费支出决算比2021年减少0.91万元，下降65%。主要原因</w:t>
      </w:r>
      <w:r>
        <w:rPr>
          <w:rFonts w:hint="eastAsia" w:ascii="Times New Roman" w:hAnsi="Times New Roman" w:eastAsia="仿宋_GB2312" w:cs="Times New Roman"/>
          <w:b w:val="0"/>
          <w:bCs w:val="0"/>
          <w:color w:val="auto"/>
          <w:spacing w:val="0"/>
          <w:sz w:val="32"/>
          <w:szCs w:val="32"/>
          <w:highlight w:val="none"/>
        </w:rPr>
        <w:t>是倡导厉</w:t>
      </w:r>
      <w:r>
        <w:rPr>
          <w:rFonts w:hint="eastAsia" w:ascii="仿宋_GB2312" w:hAnsi="仿宋_GB2312" w:eastAsia="仿宋_GB2312" w:cs="仿宋_GB2312"/>
          <w:b w:val="0"/>
          <w:bCs w:val="0"/>
          <w:color w:val="auto"/>
          <w:spacing w:val="0"/>
          <w:sz w:val="32"/>
          <w:szCs w:val="32"/>
          <w:highlight w:val="none"/>
        </w:rPr>
        <w:t>行</w:t>
      </w:r>
      <w:r>
        <w:rPr>
          <w:rFonts w:hint="eastAsia" w:ascii="Times New Roman" w:hAnsi="Times New Roman" w:eastAsia="仿宋_GB2312" w:cs="Times New Roman"/>
          <w:b w:val="0"/>
          <w:bCs w:val="0"/>
          <w:color w:val="auto"/>
          <w:spacing w:val="0"/>
          <w:sz w:val="32"/>
          <w:szCs w:val="32"/>
          <w:highlight w:val="none"/>
        </w:rPr>
        <w:t>节约，精简开支，规范公务接待，严格控制公务接待标准和陪餐人数。</w:t>
      </w:r>
      <w:r>
        <w:rPr>
          <w:rFonts w:hint="eastAsia" w:ascii="仿宋_GB2312" w:hAnsi="仿宋_GB2312" w:eastAsia="仿宋_GB2312"/>
          <w:color w:val="auto"/>
          <w:kern w:val="2"/>
          <w:sz w:val="32"/>
          <w:szCs w:val="24"/>
          <w:highlight w:val="none"/>
          <w:lang w:val="zh-CN"/>
        </w:rPr>
        <w:t>其中：</w:t>
      </w:r>
    </w:p>
    <w:p>
      <w:pPr>
        <w:widowControl w:val="0"/>
        <w:shd w:val="clear" w:color="040000" w:fill="auto"/>
        <w:wordWrap/>
        <w:adjustRightInd/>
        <w:snapToGrid/>
        <w:spacing w:line="550" w:lineRule="exact"/>
        <w:ind w:firstLine="643"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仿宋_GB2312" w:hAnsi="仿宋_GB2312" w:eastAsia="仿宋_GB2312"/>
          <w:b/>
          <w:color w:val="auto"/>
          <w:kern w:val="2"/>
          <w:sz w:val="32"/>
          <w:szCs w:val="24"/>
          <w:highlight w:val="none"/>
          <w:lang w:val="zh-CN"/>
        </w:rPr>
        <w:t>国内公务接待</w:t>
      </w:r>
      <w:r>
        <w:rPr>
          <w:rFonts w:hint="eastAsia" w:ascii="仿宋_GB2312" w:hAnsi="仿宋_GB2312" w:eastAsia="仿宋_GB2312"/>
          <w:color w:val="auto"/>
          <w:kern w:val="2"/>
          <w:sz w:val="32"/>
          <w:szCs w:val="24"/>
          <w:highlight w:val="none"/>
          <w:lang w:val="zh-CN"/>
        </w:rPr>
        <w:t>支出0.49万元。</w:t>
      </w:r>
      <w:r>
        <w:rPr>
          <w:rFonts w:hint="eastAsia" w:ascii="Times New Roman" w:hAnsi="Times New Roman" w:eastAsia="仿宋_GB2312" w:cs="Times New Roman"/>
          <w:b w:val="0"/>
          <w:bCs w:val="0"/>
          <w:color w:val="auto"/>
          <w:spacing w:val="0"/>
          <w:sz w:val="32"/>
          <w:szCs w:val="32"/>
          <w:highlight w:val="none"/>
        </w:rPr>
        <w:t>主要用于其他地市州到我局来执行公务、开展业务活动开支的用餐费用。</w:t>
      </w:r>
      <w:r>
        <w:rPr>
          <w:rFonts w:hint="eastAsia" w:ascii="仿宋_GB2312" w:hAnsi="仿宋_GB2312" w:eastAsia="仿宋_GB2312"/>
          <w:color w:val="auto"/>
          <w:kern w:val="2"/>
          <w:sz w:val="32"/>
          <w:szCs w:val="24"/>
          <w:highlight w:val="none"/>
          <w:lang w:val="zh-CN"/>
        </w:rPr>
        <w:t>国内公务接待4批次，53人次，共计支出0.49万元，具体内容包括</w:t>
      </w:r>
      <w:r>
        <w:rPr>
          <w:rFonts w:hint="eastAsia" w:ascii="Times New Roman" w:hAnsi="Times New Roman" w:eastAsia="仿宋_GB2312" w:cs="Times New Roman"/>
          <w:b w:val="0"/>
          <w:bCs w:val="0"/>
          <w:color w:val="auto"/>
          <w:spacing w:val="0"/>
          <w:sz w:val="32"/>
          <w:szCs w:val="32"/>
          <w:highlight w:val="none"/>
        </w:rPr>
        <w:t>省内外城管系统来访考察接待用餐费用</w:t>
      </w:r>
      <w:r>
        <w:rPr>
          <w:rFonts w:hint="eastAsia" w:ascii="Times New Roman" w:hAnsi="Times New Roman" w:eastAsia="仿宋_GB2312" w:cs="Times New Roman"/>
          <w:b w:val="0"/>
          <w:bCs w:val="0"/>
          <w:color w:val="auto"/>
          <w:spacing w:val="0"/>
          <w:sz w:val="32"/>
          <w:szCs w:val="32"/>
          <w:highlight w:val="none"/>
          <w:lang w:val="en-US" w:eastAsia="zh-CN"/>
        </w:rPr>
        <w:t>等</w:t>
      </w:r>
      <w:r>
        <w:rPr>
          <w:rFonts w:hint="eastAsia" w:ascii="Times New Roman" w:hAnsi="Times New Roman" w:eastAsia="仿宋_GB2312" w:cs="Times New Roman"/>
          <w:b w:val="0"/>
          <w:bCs w:val="0"/>
          <w:color w:val="auto"/>
          <w:spacing w:val="0"/>
          <w:sz w:val="32"/>
          <w:szCs w:val="32"/>
          <w:highlight w:val="none"/>
        </w:rPr>
        <w:t>。</w:t>
      </w:r>
    </w:p>
    <w:p>
      <w:pPr>
        <w:keepNext/>
        <w:keepLines/>
        <w:shd w:val="clear" w:color="020000" w:fill="auto"/>
        <w:spacing w:beforeLines="0" w:afterLines="0" w:line="576" w:lineRule="exact"/>
        <w:ind w:firstLine="643"/>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b/>
          <w:color w:val="auto"/>
          <w:kern w:val="2"/>
          <w:sz w:val="32"/>
          <w:szCs w:val="24"/>
          <w:highlight w:val="none"/>
          <w:lang w:val="zh-CN"/>
        </w:rPr>
        <w:t>外事接待</w:t>
      </w:r>
      <w:r>
        <w:rPr>
          <w:rFonts w:hint="eastAsia" w:ascii="仿宋_GB2312" w:hAnsi="仿宋_GB2312" w:eastAsia="仿宋_GB2312"/>
          <w:color w:val="auto"/>
          <w:kern w:val="2"/>
          <w:sz w:val="32"/>
          <w:szCs w:val="24"/>
          <w:highlight w:val="none"/>
          <w:lang w:val="zh-CN"/>
        </w:rPr>
        <w:t>支出0万元。</w:t>
      </w:r>
    </w:p>
    <w:p>
      <w:pPr>
        <w:keepNext/>
        <w:keepLines/>
        <w:shd w:val="clear" w:color="020000" w:fill="auto"/>
        <w:spacing w:beforeLines="0" w:afterLines="0" w:line="576" w:lineRule="exact"/>
        <w:ind w:firstLine="640"/>
        <w:jc w:val="both"/>
        <w:outlineLvl w:val="1"/>
        <w:rPr>
          <w:rFonts w:hint="eastAsia" w:ascii="黑体" w:hAnsi="黑体" w:eastAsia="黑体"/>
          <w:b/>
          <w:color w:val="auto"/>
          <w:kern w:val="2"/>
          <w:sz w:val="32"/>
          <w:szCs w:val="24"/>
          <w:highlight w:val="none"/>
          <w:lang w:val="zh-CN"/>
        </w:rPr>
      </w:pPr>
      <w:bookmarkStart w:id="13" w:name="_Toc32649"/>
      <w:r>
        <w:rPr>
          <w:rFonts w:hint="eastAsia" w:ascii="黑体" w:hAnsi="黑体" w:eastAsia="黑体"/>
          <w:color w:val="auto"/>
          <w:kern w:val="2"/>
          <w:sz w:val="32"/>
          <w:szCs w:val="24"/>
          <w:highlight w:val="none"/>
          <w:lang w:val="zh-CN"/>
        </w:rPr>
        <w:t>八、政府性基金预算支出决算情况说明</w:t>
      </w:r>
      <w:bookmarkEnd w:id="13"/>
    </w:p>
    <w:p>
      <w:pPr>
        <w:shd w:val="clear" w:color="000000" w:fill="auto"/>
        <w:spacing w:line="576" w:lineRule="exact"/>
        <w:ind w:firstLine="640" w:firstLineChars="20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2022年政府性基金预算拨款支出12万元，</w:t>
      </w:r>
      <w:r>
        <w:rPr>
          <w:rFonts w:hint="eastAsia" w:ascii="Times New Roman" w:hAnsi="Times New Roman" w:eastAsia="仿宋_GB2312" w:cs="Times New Roman"/>
          <w:b w:val="0"/>
          <w:bCs w:val="0"/>
          <w:color w:val="auto"/>
          <w:spacing w:val="0"/>
          <w:sz w:val="32"/>
          <w:szCs w:val="32"/>
          <w:highlight w:val="none"/>
        </w:rPr>
        <w:t>未在政府性基金预算拨款安排“三公经费”支出。</w:t>
      </w:r>
    </w:p>
    <w:p>
      <w:pPr>
        <w:keepNext/>
        <w:keepLines/>
        <w:shd w:val="clear" w:color="020000" w:fill="auto"/>
        <w:spacing w:beforeLines="0" w:afterLines="0" w:line="576" w:lineRule="exact"/>
        <w:ind w:firstLine="640"/>
        <w:jc w:val="both"/>
        <w:outlineLvl w:val="1"/>
        <w:rPr>
          <w:rFonts w:hint="eastAsia" w:ascii="黑体" w:hAnsi="黑体" w:eastAsia="黑体"/>
          <w:color w:val="auto"/>
          <w:kern w:val="2"/>
          <w:sz w:val="32"/>
          <w:szCs w:val="24"/>
          <w:highlight w:val="none"/>
          <w:lang w:val="zh-CN"/>
        </w:rPr>
      </w:pPr>
      <w:bookmarkStart w:id="14" w:name="_Toc9202"/>
      <w:r>
        <w:rPr>
          <w:rFonts w:hint="eastAsia" w:ascii="黑体" w:hAnsi="黑体" w:eastAsia="黑体"/>
          <w:color w:val="auto"/>
          <w:kern w:val="2"/>
          <w:sz w:val="32"/>
          <w:szCs w:val="24"/>
          <w:highlight w:val="none"/>
          <w:lang w:val="zh-CN"/>
        </w:rPr>
        <w:t>九、国有资本经营预算支出决算情况说明</w:t>
      </w:r>
      <w:bookmarkEnd w:id="14"/>
    </w:p>
    <w:p>
      <w:pPr>
        <w:shd w:val="clear" w:color="000000" w:fill="auto"/>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2022年国有资本经营预算拨款支出0万元。</w:t>
      </w:r>
    </w:p>
    <w:p>
      <w:pPr>
        <w:keepNext/>
        <w:keepLines/>
        <w:shd w:val="clear" w:color="020000" w:fill="auto"/>
        <w:spacing w:beforeLines="0" w:afterLines="0" w:line="576" w:lineRule="exact"/>
        <w:ind w:firstLine="640"/>
        <w:jc w:val="both"/>
        <w:outlineLvl w:val="1"/>
        <w:rPr>
          <w:rFonts w:hint="eastAsia" w:ascii="黑体" w:hAnsi="黑体" w:eastAsia="黑体"/>
          <w:b/>
          <w:color w:val="auto"/>
          <w:kern w:val="2"/>
          <w:sz w:val="32"/>
          <w:szCs w:val="24"/>
          <w:highlight w:val="none"/>
          <w:lang w:val="zh-CN"/>
        </w:rPr>
      </w:pPr>
      <w:bookmarkStart w:id="15" w:name="_Toc21543"/>
      <w:r>
        <w:rPr>
          <w:rFonts w:hint="eastAsia" w:ascii="黑体" w:hAnsi="黑体" w:eastAsia="黑体"/>
          <w:color w:val="auto"/>
          <w:kern w:val="2"/>
          <w:sz w:val="32"/>
          <w:szCs w:val="24"/>
          <w:highlight w:val="none"/>
          <w:lang w:val="zh-CN"/>
        </w:rPr>
        <w:t>十</w:t>
      </w:r>
      <w:r>
        <w:rPr>
          <w:rFonts w:hint="eastAsia" w:ascii="黑体" w:hAnsi="黑体" w:eastAsia="黑体"/>
          <w:b/>
          <w:color w:val="auto"/>
          <w:kern w:val="2"/>
          <w:sz w:val="32"/>
          <w:szCs w:val="24"/>
          <w:highlight w:val="none"/>
          <w:lang w:val="zh-CN"/>
        </w:rPr>
        <w:t>、</w:t>
      </w:r>
      <w:r>
        <w:rPr>
          <w:rFonts w:hint="eastAsia" w:ascii="黑体" w:hAnsi="黑体" w:eastAsia="黑体"/>
          <w:color w:val="auto"/>
          <w:kern w:val="2"/>
          <w:sz w:val="32"/>
          <w:szCs w:val="24"/>
          <w:highlight w:val="none"/>
          <w:lang w:val="zh-CN"/>
        </w:rPr>
        <w:t>其他重要事项的情况说明</w:t>
      </w:r>
      <w:bookmarkEnd w:id="15"/>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（一）机关运行经费支出情况</w:t>
      </w:r>
    </w:p>
    <w:p>
      <w:pPr>
        <w:shd w:val="clear" w:color="000000" w:fill="auto"/>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2022年，广元市城市管理行政执法局机关运行经费支出433.28万元，比2021年增加85.13万元，增长24.</w:t>
      </w:r>
      <w:r>
        <w:rPr>
          <w:rFonts w:hint="eastAsia" w:ascii="仿宋_GB2312" w:hAnsi="仿宋_GB2312" w:eastAsia="仿宋_GB2312"/>
          <w:color w:val="auto"/>
          <w:kern w:val="2"/>
          <w:sz w:val="32"/>
          <w:szCs w:val="24"/>
          <w:highlight w:val="none"/>
          <w:lang w:val="en-US" w:eastAsia="zh-CN"/>
        </w:rPr>
        <w:t>45</w:t>
      </w:r>
      <w:r>
        <w:rPr>
          <w:rFonts w:hint="eastAsia" w:ascii="仿宋_GB2312" w:hAnsi="仿宋_GB2312" w:eastAsia="仿宋_GB2312"/>
          <w:color w:val="auto"/>
          <w:kern w:val="2"/>
          <w:sz w:val="32"/>
          <w:szCs w:val="24"/>
          <w:highlight w:val="none"/>
          <w:lang w:val="zh-CN"/>
        </w:rPr>
        <w:t>%。主要原因是人员增加，</w:t>
      </w:r>
      <w:r>
        <w:rPr>
          <w:rFonts w:hint="eastAsia" w:ascii="Times New Roman" w:hAnsi="Times New Roman" w:eastAsia="仿宋_GB2312" w:cs="Times New Roman"/>
          <w:b w:val="0"/>
          <w:bCs w:val="0"/>
          <w:color w:val="auto"/>
          <w:spacing w:val="0"/>
          <w:sz w:val="32"/>
          <w:szCs w:val="32"/>
          <w:highlight w:val="none"/>
        </w:rPr>
        <w:t>机关运行成本增加。</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（二）政府采购支出情况</w:t>
      </w:r>
    </w:p>
    <w:p>
      <w:pPr>
        <w:shd w:val="clear" w:color="000000" w:fill="auto"/>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2022年，广元市城市管理行政执法局政府采购支出总额59.37万元，其中：政府采购货物支出3.37万元、政府采购服务支出56万元。主要用于办公家具购置及城市公共区域</w:t>
      </w:r>
      <w:r>
        <w:rPr>
          <w:rFonts w:hint="eastAsia" w:ascii="仿宋_GB2312" w:eastAsia="仿宋_GB2312"/>
          <w:color w:val="auto"/>
          <w:sz w:val="32"/>
          <w:szCs w:val="32"/>
          <w:highlight w:val="none"/>
          <w:lang w:val="en-US" w:eastAsia="zh-CN"/>
        </w:rPr>
        <w:t>病媒生物防制服务</w:t>
      </w:r>
      <w:r>
        <w:rPr>
          <w:rFonts w:hint="eastAsia" w:ascii="仿宋_GB2312" w:hAnsi="仿宋_GB2312" w:eastAsia="仿宋_GB2312"/>
          <w:color w:val="auto"/>
          <w:kern w:val="2"/>
          <w:sz w:val="32"/>
          <w:szCs w:val="24"/>
          <w:highlight w:val="none"/>
          <w:lang w:val="zh-CN"/>
        </w:rPr>
        <w:t>。授予中小企业合同金额59.37万元，占政府采购支出总额的100%，其中：授予小微企业合同金额59.37万元，</w:t>
      </w:r>
      <w:r>
        <w:rPr>
          <w:rFonts w:hint="eastAsia" w:ascii="仿宋_GB2312" w:hAnsi="仿宋_GB2312" w:eastAsia="仿宋_GB2312"/>
          <w:color w:val="auto"/>
          <w:kern w:val="2"/>
          <w:sz w:val="32"/>
          <w:szCs w:val="24"/>
          <w:highlight w:val="none"/>
          <w:lang w:val="en-US"/>
        </w:rPr>
        <w:t>占政府采购支出总额的</w:t>
      </w:r>
      <w:r>
        <w:rPr>
          <w:rFonts w:hint="eastAsia" w:ascii="仿宋_GB2312" w:hAnsi="仿宋_GB2312" w:eastAsia="仿宋_GB2312"/>
          <w:color w:val="auto"/>
          <w:kern w:val="2"/>
          <w:sz w:val="32"/>
          <w:szCs w:val="24"/>
          <w:highlight w:val="none"/>
          <w:lang w:val="zh-CN"/>
        </w:rPr>
        <w:t>100%。</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（三）国有资产占有使用情况</w:t>
      </w:r>
    </w:p>
    <w:p>
      <w:pPr>
        <w:shd w:val="clear" w:color="000000" w:fill="auto"/>
        <w:spacing w:beforeLines="0" w:afterLines="0" w:line="576" w:lineRule="exact"/>
        <w:ind w:firstLine="64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截至2022年12月31日，广元市城市管理行政执法局共有车辆33辆，其中：特种专业技术用车26辆、其他用车7辆。其中：其他用车主要是用于</w:t>
      </w:r>
      <w:r>
        <w:rPr>
          <w:rFonts w:hint="eastAsia" w:ascii="Times New Roman" w:hAnsi="Times New Roman" w:eastAsia="仿宋_GB2312" w:cs="Times New Roman"/>
          <w:b w:val="0"/>
          <w:bCs w:val="0"/>
          <w:color w:val="auto"/>
          <w:spacing w:val="0"/>
          <w:sz w:val="32"/>
          <w:szCs w:val="32"/>
          <w:highlight w:val="none"/>
        </w:rPr>
        <w:t>城市管理方面的执法用车</w:t>
      </w:r>
      <w:r>
        <w:rPr>
          <w:rFonts w:hint="eastAsia" w:ascii="仿宋_GB2312" w:hAnsi="仿宋_GB2312" w:eastAsia="仿宋_GB2312"/>
          <w:color w:val="auto"/>
          <w:kern w:val="2"/>
          <w:sz w:val="32"/>
          <w:szCs w:val="24"/>
          <w:highlight w:val="none"/>
          <w:lang w:val="zh-CN" w:eastAsia="zh-CN"/>
        </w:rPr>
        <w:t>及</w:t>
      </w:r>
      <w:r>
        <w:rPr>
          <w:rFonts w:hint="eastAsia" w:ascii="仿宋_GB2312" w:hAnsi="仿宋_GB2312" w:eastAsia="仿宋_GB2312"/>
          <w:color w:val="auto"/>
          <w:kern w:val="2"/>
          <w:sz w:val="32"/>
          <w:szCs w:val="24"/>
          <w:highlight w:val="none"/>
          <w:lang w:val="zh-CN"/>
        </w:rPr>
        <w:t>督查生活垃圾分类</w:t>
      </w:r>
      <w:r>
        <w:rPr>
          <w:rFonts w:hint="eastAsia" w:ascii="仿宋_GB2312" w:hAnsi="仿宋_GB2312" w:eastAsia="仿宋_GB2312"/>
          <w:color w:val="auto"/>
          <w:kern w:val="2"/>
          <w:sz w:val="32"/>
          <w:szCs w:val="24"/>
          <w:highlight w:val="none"/>
          <w:lang w:val="en-US" w:eastAsia="zh-CN"/>
        </w:rPr>
        <w:t>工作</w:t>
      </w:r>
      <w:r>
        <w:rPr>
          <w:rFonts w:hint="eastAsia" w:ascii="仿宋_GB2312" w:hAnsi="仿宋_GB2312" w:eastAsia="仿宋_GB2312"/>
          <w:color w:val="auto"/>
          <w:kern w:val="2"/>
          <w:sz w:val="32"/>
          <w:szCs w:val="24"/>
          <w:highlight w:val="none"/>
          <w:lang w:val="zh-CN"/>
        </w:rPr>
        <w:t>。单价100万元（含）以上设备0台（套)。</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（四）预算绩效管理情况。</w:t>
      </w:r>
    </w:p>
    <w:p>
      <w:pPr>
        <w:shd w:val="clear" w:color="000000" w:fill="auto"/>
        <w:spacing w:beforeLines="0" w:afterLines="0" w:line="576" w:lineRule="exact"/>
        <w:ind w:firstLine="640"/>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color w:val="auto"/>
          <w:kern w:val="2"/>
          <w:sz w:val="32"/>
          <w:szCs w:val="24"/>
          <w:highlight w:val="none"/>
          <w:lang w:val="en-US"/>
        </w:rPr>
        <w:t>根据预算绩效管理要求，本部门在2022年度预算编制阶段，组织对</w:t>
      </w:r>
      <w:r>
        <w:rPr>
          <w:rFonts w:hint="eastAsia" w:ascii="Times New Roman" w:hAnsi="Times New Roman" w:eastAsia="仿宋_GB2312" w:cs="Times New Roman"/>
          <w:b w:val="0"/>
          <w:bCs w:val="0"/>
          <w:color w:val="auto"/>
          <w:spacing w:val="0"/>
          <w:sz w:val="32"/>
          <w:szCs w:val="32"/>
          <w:highlight w:val="none"/>
        </w:rPr>
        <w:t>城管协管员经费</w:t>
      </w:r>
      <w:r>
        <w:rPr>
          <w:rFonts w:hint="eastAsia" w:ascii="Times New Roman" w:hAnsi="Times New Roman" w:eastAsia="仿宋_GB2312" w:cs="Times New Roman"/>
          <w:b w:val="0"/>
          <w:bCs w:val="0"/>
          <w:color w:val="auto"/>
          <w:spacing w:val="0"/>
          <w:sz w:val="32"/>
          <w:szCs w:val="32"/>
          <w:highlight w:val="none"/>
          <w:lang w:eastAsia="zh-CN"/>
        </w:rPr>
        <w:t>、城市管理执法专项经费、扶贫工作经费、火车站站前广场管理经费、市城区流浪犬只收养中心运行经费、数字化城管信息系统运行经费、 办公家俱购置、城市公共区域病媒体生物防控经费、市城市生活垃圾分类服务费</w:t>
      </w:r>
      <w:r>
        <w:rPr>
          <w:rFonts w:hint="eastAsia" w:ascii="仿宋_GB2312" w:hAnsi="仿宋_GB2312" w:eastAsia="仿宋_GB2312"/>
          <w:color w:val="auto"/>
          <w:kern w:val="2"/>
          <w:sz w:val="32"/>
          <w:szCs w:val="24"/>
          <w:highlight w:val="none"/>
          <w:lang w:val="en-US"/>
        </w:rPr>
        <w:t>等</w:t>
      </w:r>
      <w:r>
        <w:rPr>
          <w:rFonts w:hint="eastAsia" w:ascii="仿宋_GB2312" w:hAnsi="仿宋_GB2312" w:eastAsia="仿宋_GB2312"/>
          <w:color w:val="auto"/>
          <w:kern w:val="2"/>
          <w:sz w:val="32"/>
          <w:szCs w:val="24"/>
          <w:highlight w:val="none"/>
          <w:lang w:val="en-US" w:eastAsia="zh-CN"/>
        </w:rPr>
        <w:t>9</w:t>
      </w:r>
      <w:r>
        <w:rPr>
          <w:rFonts w:hint="eastAsia" w:ascii="仿宋_GB2312" w:hAnsi="仿宋_GB2312" w:eastAsia="仿宋_GB2312"/>
          <w:color w:val="auto"/>
          <w:kern w:val="2"/>
          <w:sz w:val="32"/>
          <w:szCs w:val="24"/>
          <w:highlight w:val="none"/>
          <w:lang w:val="en-US"/>
        </w:rPr>
        <w:t>个项目开展了预算事前绩效评估，对</w:t>
      </w:r>
      <w:r>
        <w:rPr>
          <w:rFonts w:hint="eastAsia" w:ascii="仿宋_GB2312" w:hAnsi="仿宋_GB2312" w:eastAsia="仿宋_GB2312"/>
          <w:color w:val="auto"/>
          <w:kern w:val="2"/>
          <w:sz w:val="32"/>
          <w:szCs w:val="24"/>
          <w:highlight w:val="none"/>
          <w:lang w:val="en-US" w:eastAsia="zh-CN"/>
        </w:rPr>
        <w:t>14</w:t>
      </w:r>
      <w:r>
        <w:rPr>
          <w:rFonts w:hint="eastAsia" w:ascii="仿宋_GB2312" w:hAnsi="仿宋_GB2312" w:eastAsia="仿宋_GB2312"/>
          <w:color w:val="auto"/>
          <w:kern w:val="2"/>
          <w:sz w:val="32"/>
          <w:szCs w:val="24"/>
          <w:highlight w:val="none"/>
          <w:lang w:val="en-US"/>
        </w:rPr>
        <w:t>个项目编制绩效目标，预算执行过程中，选取</w:t>
      </w:r>
      <w:r>
        <w:rPr>
          <w:rFonts w:hint="eastAsia" w:ascii="仿宋_GB2312" w:hAnsi="仿宋_GB2312" w:eastAsia="仿宋_GB2312"/>
          <w:color w:val="auto"/>
          <w:kern w:val="2"/>
          <w:sz w:val="32"/>
          <w:szCs w:val="24"/>
          <w:highlight w:val="none"/>
          <w:lang w:val="en-US" w:eastAsia="zh-CN"/>
        </w:rPr>
        <w:t>14</w:t>
      </w:r>
      <w:r>
        <w:rPr>
          <w:rFonts w:hint="eastAsia" w:ascii="仿宋_GB2312" w:hAnsi="仿宋_GB2312" w:eastAsia="仿宋_GB2312"/>
          <w:color w:val="auto"/>
          <w:kern w:val="2"/>
          <w:sz w:val="32"/>
          <w:szCs w:val="24"/>
          <w:highlight w:val="none"/>
          <w:lang w:val="en-US"/>
        </w:rPr>
        <w:t>个项目开展绩效监控。组织对2022年度一般公共预算、政府性基金预算等全面开展绩效自评，形成20</w:t>
      </w:r>
      <w:r>
        <w:rPr>
          <w:rFonts w:hint="eastAsia" w:ascii="仿宋_GB2312" w:hAnsi="仿宋_GB2312" w:eastAsia="仿宋_GB2312"/>
          <w:color w:val="auto"/>
          <w:kern w:val="2"/>
          <w:sz w:val="32"/>
          <w:szCs w:val="24"/>
          <w:highlight w:val="none"/>
          <w:lang w:val="en-US" w:eastAsia="zh-CN"/>
        </w:rPr>
        <w:t>22</w:t>
      </w:r>
      <w:r>
        <w:rPr>
          <w:rFonts w:hint="eastAsia" w:ascii="仿宋_GB2312" w:hAnsi="仿宋_GB2312" w:eastAsia="仿宋_GB2312"/>
          <w:color w:val="auto"/>
          <w:kern w:val="2"/>
          <w:sz w:val="32"/>
          <w:szCs w:val="24"/>
          <w:highlight w:val="none"/>
          <w:lang w:val="en-US"/>
        </w:rPr>
        <w:t>年</w:t>
      </w:r>
      <w:r>
        <w:rPr>
          <w:rFonts w:hint="eastAsia" w:ascii="仿宋_GB2312" w:hAnsi="仿宋_GB2312" w:eastAsia="仿宋_GB2312"/>
          <w:color w:val="auto"/>
          <w:kern w:val="2"/>
          <w:sz w:val="32"/>
          <w:szCs w:val="24"/>
          <w:highlight w:val="none"/>
          <w:lang w:val="en-US" w:eastAsia="zh-CN"/>
        </w:rPr>
        <w:t>度</w:t>
      </w:r>
      <w:r>
        <w:rPr>
          <w:rFonts w:hint="eastAsia" w:ascii="仿宋_GB2312" w:hAnsi="仿宋_GB2312" w:eastAsia="仿宋_GB2312"/>
          <w:color w:val="auto"/>
          <w:kern w:val="2"/>
          <w:sz w:val="32"/>
          <w:szCs w:val="24"/>
          <w:highlight w:val="none"/>
          <w:lang w:val="en-US"/>
        </w:rPr>
        <w:t>部门整体（含部门预算项目）绩效自评报告、</w:t>
      </w:r>
      <w:r>
        <w:rPr>
          <w:rFonts w:hint="eastAsia" w:ascii="仿宋_GB2312" w:hAnsi="仿宋_GB2312" w:eastAsia="仿宋_GB2312"/>
          <w:color w:val="auto"/>
          <w:kern w:val="2"/>
          <w:sz w:val="32"/>
          <w:szCs w:val="24"/>
          <w:highlight w:val="none"/>
          <w:lang w:val="en-US" w:eastAsia="zh-CN"/>
        </w:rPr>
        <w:t>2022年度</w:t>
      </w:r>
      <w:r>
        <w:rPr>
          <w:rFonts w:hint="eastAsia" w:ascii="仿宋_GB2312" w:hAnsi="仿宋_GB2312" w:eastAsia="仿宋_GB2312"/>
          <w:color w:val="auto"/>
          <w:kern w:val="2"/>
          <w:sz w:val="32"/>
          <w:szCs w:val="24"/>
          <w:highlight w:val="none"/>
          <w:lang w:val="en-US"/>
        </w:rPr>
        <w:t>基本公共卫生服务中央补助资金等专项预算项目绩效自评报告</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其中，</w:t>
      </w:r>
      <w:r>
        <w:rPr>
          <w:rFonts w:hint="eastAsia" w:ascii="仿宋_GB2312" w:hAnsi="仿宋_GB2312" w:eastAsia="仿宋_GB2312"/>
          <w:color w:val="auto"/>
          <w:kern w:val="2"/>
          <w:sz w:val="32"/>
          <w:szCs w:val="24"/>
          <w:highlight w:val="none"/>
          <w:lang w:val="en-US" w:eastAsia="zh-CN"/>
        </w:rPr>
        <w:t>2022年度</w:t>
      </w:r>
      <w:r>
        <w:rPr>
          <w:rFonts w:hint="eastAsia" w:ascii="仿宋_GB2312" w:hAnsi="仿宋_GB2312" w:eastAsia="仿宋_GB2312"/>
          <w:color w:val="auto"/>
          <w:kern w:val="2"/>
          <w:sz w:val="32"/>
          <w:szCs w:val="24"/>
          <w:highlight w:val="none"/>
          <w:lang w:val="en-US"/>
        </w:rPr>
        <w:t>部门整体（含部门预算项目）绩效自评得分为</w:t>
      </w:r>
      <w:r>
        <w:rPr>
          <w:rFonts w:hint="eastAsia" w:ascii="仿宋_GB2312" w:hAnsi="仿宋_GB2312" w:eastAsia="仿宋_GB2312"/>
          <w:color w:val="auto"/>
          <w:kern w:val="2"/>
          <w:sz w:val="32"/>
          <w:szCs w:val="24"/>
          <w:highlight w:val="none"/>
          <w:lang w:val="en-US" w:eastAsia="zh-CN"/>
        </w:rPr>
        <w:t>97.7</w:t>
      </w:r>
      <w:r>
        <w:rPr>
          <w:rFonts w:hint="eastAsia" w:ascii="仿宋_GB2312" w:hAnsi="仿宋_GB2312" w:eastAsia="仿宋_GB2312"/>
          <w:color w:val="auto"/>
          <w:kern w:val="2"/>
          <w:sz w:val="32"/>
          <w:szCs w:val="24"/>
          <w:highlight w:val="none"/>
          <w:lang w:val="en-US"/>
        </w:rPr>
        <w:t>分，绩效自评综述：</w:t>
      </w:r>
      <w:r>
        <w:rPr>
          <w:rFonts w:hint="eastAsia" w:ascii="Times New Roman" w:hAnsi="Times New Roman" w:eastAsia="仿宋_GB2312" w:cs="Times New Roman"/>
          <w:color w:val="auto"/>
          <w:sz w:val="32"/>
          <w:szCs w:val="32"/>
          <w:highlight w:val="none"/>
        </w:rPr>
        <w:t>人员经费支出严格执行人员编制管理制度、工资管理制度和财政关于各种津贴、补贴、奖金、福利待遇方面的规定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工资变动、人员调</w:t>
      </w:r>
      <w:r>
        <w:rPr>
          <w:rFonts w:hint="eastAsia" w:ascii="Times New Roman" w:hAnsi="Times New Roman" w:eastAsia="仿宋_GB2312" w:cs="Times New Roman"/>
          <w:color w:val="auto"/>
          <w:sz w:val="32"/>
          <w:szCs w:val="32"/>
          <w:highlight w:val="none"/>
          <w:lang w:val="en-US" w:eastAsia="zh-CN"/>
        </w:rPr>
        <w:t>动</w:t>
      </w:r>
      <w:r>
        <w:rPr>
          <w:rFonts w:hint="eastAsia" w:ascii="Times New Roman" w:hAnsi="Times New Roman" w:eastAsia="仿宋_GB2312" w:cs="Times New Roman"/>
          <w:color w:val="auto"/>
          <w:sz w:val="32"/>
          <w:szCs w:val="32"/>
          <w:highlight w:val="none"/>
        </w:rPr>
        <w:t>等严格</w:t>
      </w:r>
      <w:r>
        <w:rPr>
          <w:rFonts w:hint="eastAsia" w:ascii="Times New Roman" w:hAnsi="Times New Roman" w:eastAsia="仿宋_GB2312" w:cs="Times New Roman"/>
          <w:color w:val="auto"/>
          <w:sz w:val="32"/>
          <w:szCs w:val="32"/>
          <w:highlight w:val="none"/>
          <w:lang w:val="en-US" w:eastAsia="zh-CN"/>
        </w:rPr>
        <w:t>依据“</w:t>
      </w:r>
      <w:r>
        <w:rPr>
          <w:rFonts w:hint="eastAsia" w:ascii="Times New Roman" w:hAnsi="Times New Roman" w:eastAsia="仿宋_GB2312" w:cs="Times New Roman"/>
          <w:color w:val="auto"/>
          <w:sz w:val="32"/>
          <w:szCs w:val="32"/>
          <w:highlight w:val="none"/>
        </w:rPr>
        <w:t>机关事业单位工作人员工资变动审批表”。</w:t>
      </w:r>
      <w:r>
        <w:rPr>
          <w:rFonts w:hint="eastAsia" w:ascii="Times New Roman" w:hAnsi="Times New Roman" w:eastAsia="仿宋_GB2312" w:cs="Times New Roman"/>
          <w:color w:val="auto"/>
          <w:sz w:val="32"/>
          <w:szCs w:val="32"/>
          <w:highlight w:val="none"/>
          <w:lang w:eastAsia="zh-CN"/>
        </w:rPr>
        <w:t>公用经费严格落实“过紧日子”十三条措施，严控“三公”经费、会议、培训等</w:t>
      </w:r>
      <w:r>
        <w:rPr>
          <w:rFonts w:hint="eastAsia" w:ascii="Times New Roman" w:hAnsi="Times New Roman" w:eastAsia="仿宋_GB2312" w:cs="Times New Roman"/>
          <w:color w:val="auto"/>
          <w:sz w:val="32"/>
          <w:szCs w:val="32"/>
          <w:highlight w:val="none"/>
          <w:lang w:val="en-US" w:eastAsia="zh-CN"/>
        </w:rPr>
        <w:t>公用</w:t>
      </w:r>
      <w:r>
        <w:rPr>
          <w:rFonts w:hint="eastAsia" w:ascii="Times New Roman" w:hAnsi="Times New Roman" w:eastAsia="仿宋_GB2312" w:cs="Times New Roman"/>
          <w:color w:val="auto"/>
          <w:sz w:val="32"/>
          <w:szCs w:val="32"/>
          <w:highlight w:val="none"/>
          <w:lang w:eastAsia="zh-CN"/>
        </w:rPr>
        <w:t>支出预算</w:t>
      </w:r>
      <w:r>
        <w:rPr>
          <w:rFonts w:hint="eastAsia" w:ascii="Times New Roman" w:hAnsi="Times New Roman" w:eastAsia="仿宋_GB2312" w:cs="Times New Roman"/>
          <w:color w:val="auto"/>
          <w:sz w:val="32"/>
          <w:szCs w:val="32"/>
          <w:highlight w:val="none"/>
          <w:lang w:val="en-US" w:eastAsia="zh-CN"/>
        </w:rPr>
        <w:t>，严格执行市级机关差旅费管理办法，</w:t>
      </w:r>
      <w:r>
        <w:rPr>
          <w:rFonts w:hint="eastAsia" w:ascii="Times New Roman" w:hAnsi="Times New Roman" w:eastAsia="仿宋_GB2312" w:cs="Times New Roman"/>
          <w:color w:val="auto"/>
          <w:sz w:val="32"/>
          <w:szCs w:val="32"/>
          <w:highlight w:val="none"/>
          <w:lang w:eastAsia="zh-CN"/>
        </w:rPr>
        <w:t>未擅自扩大开支范围、提高开支标准。</w:t>
      </w:r>
      <w:r>
        <w:rPr>
          <w:rFonts w:hint="eastAsia" w:ascii="Times New Roman" w:hAnsi="Times New Roman" w:eastAsia="仿宋_GB2312" w:cs="Times New Roman"/>
          <w:color w:val="auto"/>
          <w:sz w:val="32"/>
          <w:szCs w:val="32"/>
          <w:highlight w:val="none"/>
          <w:lang w:val="en-US" w:eastAsia="zh-CN"/>
        </w:rPr>
        <w:t>预算项目认真执行</w:t>
      </w:r>
      <w:r>
        <w:rPr>
          <w:rFonts w:hint="eastAsia" w:ascii="Times New Roman" w:hAnsi="Times New Roman" w:eastAsia="仿宋_GB2312" w:cs="Times New Roman"/>
          <w:color w:val="auto"/>
          <w:sz w:val="32"/>
          <w:szCs w:val="32"/>
          <w:highlight w:val="none"/>
          <w:lang w:eastAsia="zh-CN"/>
        </w:rPr>
        <w:t>预算项目入库审核程序，</w:t>
      </w:r>
      <w:r>
        <w:rPr>
          <w:rFonts w:hint="eastAsia" w:ascii="Times New Roman" w:hAnsi="Times New Roman" w:eastAsia="仿宋_GB2312" w:cs="Times New Roman"/>
          <w:color w:val="auto"/>
          <w:sz w:val="32"/>
          <w:szCs w:val="32"/>
          <w:highlight w:val="none"/>
          <w:lang w:val="en-US" w:eastAsia="zh-CN"/>
        </w:rPr>
        <w:t>定期</w:t>
      </w:r>
      <w:r>
        <w:rPr>
          <w:rFonts w:hint="eastAsia" w:ascii="Times New Roman" w:hAnsi="Times New Roman" w:eastAsia="仿宋_GB2312" w:cs="Times New Roman"/>
          <w:color w:val="auto"/>
          <w:sz w:val="32"/>
          <w:szCs w:val="32"/>
          <w:highlight w:val="none"/>
        </w:rPr>
        <w:t>开展</w:t>
      </w:r>
      <w:r>
        <w:rPr>
          <w:rFonts w:hint="eastAsia" w:ascii="Times New Roman" w:hAnsi="Times New Roman" w:eastAsia="仿宋_GB2312" w:cs="Times New Roman"/>
          <w:color w:val="auto"/>
          <w:sz w:val="32"/>
          <w:szCs w:val="32"/>
          <w:highlight w:val="none"/>
          <w:lang w:val="en-US" w:eastAsia="zh-CN"/>
        </w:rPr>
        <w:t>预算</w:t>
      </w:r>
      <w:r>
        <w:rPr>
          <w:rFonts w:hint="eastAsia" w:ascii="Times New Roman" w:hAnsi="Times New Roman" w:eastAsia="仿宋_GB2312" w:cs="Times New Roman"/>
          <w:color w:val="auto"/>
          <w:sz w:val="32"/>
          <w:szCs w:val="32"/>
          <w:highlight w:val="none"/>
        </w:rPr>
        <w:t>绩效</w:t>
      </w:r>
      <w:r>
        <w:rPr>
          <w:rFonts w:hint="eastAsia" w:ascii="Times New Roman" w:hAnsi="Times New Roman" w:eastAsia="仿宋_GB2312" w:cs="Times New Roman"/>
          <w:color w:val="auto"/>
          <w:sz w:val="32"/>
          <w:szCs w:val="32"/>
          <w:highlight w:val="none"/>
          <w:lang w:val="en-US" w:eastAsia="zh-CN"/>
        </w:rPr>
        <w:t>管理运行监控</w:t>
      </w:r>
      <w:r>
        <w:rPr>
          <w:rFonts w:hint="eastAsia"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严格落实预算执行和调整有关程序规定，项目资金管理坚持量入为出的原则，无截留、挤占、挪用现象</w:t>
      </w:r>
      <w:r>
        <w:rPr>
          <w:rFonts w:hint="eastAsia" w:ascii="仿宋_GB2312" w:hAnsi="仿宋_GB2312" w:eastAsia="仿宋_GB2312"/>
          <w:color w:val="auto"/>
          <w:kern w:val="2"/>
          <w:sz w:val="32"/>
          <w:szCs w:val="24"/>
          <w:highlight w:val="none"/>
          <w:lang w:val="en-US"/>
        </w:rPr>
        <w:t>；</w:t>
      </w:r>
      <w:r>
        <w:rPr>
          <w:rFonts w:hint="eastAsia" w:ascii="仿宋_GB2312" w:hAnsi="仿宋_GB2312" w:eastAsia="仿宋_GB2312"/>
          <w:color w:val="auto"/>
          <w:kern w:val="2"/>
          <w:sz w:val="32"/>
          <w:szCs w:val="24"/>
          <w:highlight w:val="none"/>
          <w:lang w:val="en-US" w:eastAsia="zh-CN"/>
        </w:rPr>
        <w:t>2022年度</w:t>
      </w:r>
      <w:r>
        <w:rPr>
          <w:rFonts w:hint="eastAsia" w:ascii="仿宋_GB2312" w:hAnsi="仿宋_GB2312" w:eastAsia="仿宋_GB2312"/>
          <w:color w:val="auto"/>
          <w:kern w:val="2"/>
          <w:sz w:val="32"/>
          <w:szCs w:val="24"/>
          <w:highlight w:val="none"/>
          <w:lang w:val="en-US"/>
        </w:rPr>
        <w:t>基本公共卫生服务中央补助资金绩效自评得分为</w:t>
      </w:r>
      <w:r>
        <w:rPr>
          <w:rFonts w:hint="eastAsia" w:ascii="仿宋_GB2312" w:hAnsi="仿宋_GB2312" w:eastAsia="仿宋_GB2312"/>
          <w:color w:val="auto"/>
          <w:kern w:val="2"/>
          <w:sz w:val="32"/>
          <w:szCs w:val="24"/>
          <w:highlight w:val="none"/>
          <w:lang w:val="en-US" w:eastAsia="zh-CN"/>
        </w:rPr>
        <w:t>96</w:t>
      </w:r>
      <w:r>
        <w:rPr>
          <w:rFonts w:hint="eastAsia" w:ascii="仿宋_GB2312" w:hAnsi="仿宋_GB2312" w:eastAsia="仿宋_GB2312"/>
          <w:color w:val="auto"/>
          <w:kern w:val="2"/>
          <w:sz w:val="32"/>
          <w:szCs w:val="24"/>
          <w:highlight w:val="none"/>
          <w:lang w:val="en-US"/>
        </w:rPr>
        <w:t>分，绩效自评综述：</w:t>
      </w:r>
      <w:r>
        <w:rPr>
          <w:rFonts w:hint="eastAsia" w:ascii="Times New Roman" w:hAnsi="Times New Roman" w:eastAsia="仿宋_GB2312" w:cs="Times New Roman"/>
          <w:color w:val="auto"/>
          <w:spacing w:val="0"/>
          <w:kern w:val="0"/>
          <w:sz w:val="32"/>
          <w:szCs w:val="32"/>
          <w:highlight w:val="none"/>
          <w:lang w:val="en-US" w:eastAsia="zh-CN" w:bidi="ar-SA"/>
        </w:rPr>
        <w:t>该项目以全国文明城市创建、爱国卫生检查和病媒生物防制实施为抓手，深入开展城乡环境综合治理、铁路沿线环境综合治理等运动，稳步</w:t>
      </w:r>
      <w:r>
        <w:rPr>
          <w:rFonts w:hint="eastAsia" w:ascii="Times New Roman" w:hAnsi="Times New Roman" w:eastAsia="仿宋_GB2312" w:cs="Times New Roman"/>
          <w:color w:val="auto"/>
          <w:spacing w:val="0"/>
          <w:kern w:val="0"/>
          <w:sz w:val="32"/>
          <w:szCs w:val="32"/>
          <w:highlight w:val="none"/>
          <w:lang w:val="en-US" w:bidi="ar-SA"/>
        </w:rPr>
        <w:t>推进</w:t>
      </w:r>
      <w:r>
        <w:rPr>
          <w:rFonts w:hint="eastAsia" w:ascii="Times New Roman" w:hAnsi="Times New Roman" w:eastAsia="仿宋_GB2312" w:cs="Times New Roman"/>
          <w:color w:val="auto"/>
          <w:spacing w:val="0"/>
          <w:kern w:val="0"/>
          <w:sz w:val="32"/>
          <w:szCs w:val="32"/>
          <w:highlight w:val="none"/>
          <w:lang w:val="en-US" w:eastAsia="zh-CN" w:bidi="ar-SA"/>
        </w:rPr>
        <w:t>中国最干净城市建设</w:t>
      </w:r>
      <w:r>
        <w:rPr>
          <w:rFonts w:hint="eastAsia" w:ascii="仿宋_GB2312" w:hAnsi="仿宋_GB2312" w:eastAsia="仿宋_GB2312"/>
          <w:color w:val="auto"/>
          <w:kern w:val="2"/>
          <w:sz w:val="32"/>
          <w:szCs w:val="24"/>
          <w:highlight w:val="none"/>
          <w:lang w:val="en-US"/>
        </w:rPr>
        <w:t>。绩效自评报告详见附件。</w:t>
      </w:r>
      <w:r>
        <w:rPr>
          <w:rFonts w:hint="eastAsia" w:ascii="仿宋_GB2312" w:hAnsi="仿宋_GB2312" w:eastAsia="仿宋_GB2312"/>
          <w:b/>
          <w:color w:val="auto"/>
          <w:kern w:val="2"/>
          <w:sz w:val="32"/>
          <w:szCs w:val="24"/>
          <w:highlight w:val="none"/>
          <w:lang w:val="zh-CN"/>
        </w:rPr>
        <w:br w:type="page"/>
      </w:r>
    </w:p>
    <w:p>
      <w:pPr>
        <w:widowControl w:val="0"/>
        <w:shd w:val="clear" w:color="040000" w:fill="auto"/>
        <w:wordWrap/>
        <w:autoSpaceDE w:val="0"/>
        <w:autoSpaceDN w:val="0"/>
        <w:adjustRightInd w:val="0"/>
        <w:snapToGrid/>
        <w:spacing w:line="700" w:lineRule="exact"/>
        <w:ind w:left="0" w:leftChars="0" w:right="0"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val="zh-CN"/>
        </w:rPr>
      </w:pPr>
      <w:bookmarkStart w:id="16" w:name="_Toc13037"/>
      <w:r>
        <w:rPr>
          <w:rFonts w:hint="eastAsia" w:ascii="方正小标宋简体" w:hAnsi="方正小标宋简体" w:eastAsia="方正小标宋简体" w:cs="方正小标宋简体"/>
          <w:color w:val="auto"/>
          <w:sz w:val="44"/>
          <w:szCs w:val="44"/>
          <w:highlight w:val="none"/>
          <w:lang w:val="zh-CN"/>
        </w:rPr>
        <w:t>第三部分 名词解释</w:t>
      </w:r>
      <w:bookmarkEnd w:id="16"/>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财政拨款收入：指单位从同级财政部门取得的财政预算资金。</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其他收入：指单位取得的除上述收入以外的各项收入。主要是指单位取得的除上述收入以外的各项收入。主要是利息、上级部门拨款、财政拨入暂存代管资金等。</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年初结转和结余：指以前年度尚未完成、结转到本年按有关规定继续使用的资金。</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年末结转和结余：指单位按有关规定结转到下年或以后年度继续使用的资金。</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社会保障和就业（类）行政事业单位养老支出（款）机关事业单位基本养老保险缴费支出（项）：指反映部门实施养老保险制度由单位缴纳的养老保险费的支出。</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社会保障和就业（类）行政事业单位养老支出（款）机关事业单位职业年金缴费支出（项）：指反映部门实施职业年金制度由单位缴纳的职业年金的支出。</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卫生健康支出（类）</w:t>
      </w:r>
      <w:r>
        <w:rPr>
          <w:rFonts w:hint="eastAsia" w:ascii="Times New Roman" w:hAnsi="Times New Roman" w:eastAsia="仿宋_GB2312" w:cs="Times New Roman"/>
          <w:b w:val="0"/>
          <w:bCs w:val="0"/>
          <w:color w:val="auto"/>
          <w:spacing w:val="0"/>
          <w:sz w:val="32"/>
          <w:szCs w:val="32"/>
          <w:highlight w:val="none"/>
          <w:lang w:val="en-US" w:eastAsia="zh-CN"/>
        </w:rPr>
        <w:t>公共卫生</w:t>
      </w:r>
      <w:r>
        <w:rPr>
          <w:rFonts w:hint="eastAsia" w:ascii="Times New Roman" w:hAnsi="Times New Roman" w:eastAsia="仿宋_GB2312" w:cs="Times New Roman"/>
          <w:b w:val="0"/>
          <w:bCs w:val="0"/>
          <w:color w:val="auto"/>
          <w:spacing w:val="0"/>
          <w:sz w:val="32"/>
          <w:szCs w:val="32"/>
          <w:highlight w:val="none"/>
        </w:rPr>
        <w:t>（款）</w:t>
      </w:r>
      <w:r>
        <w:rPr>
          <w:rFonts w:hint="eastAsia" w:ascii="Times New Roman" w:hAnsi="Times New Roman" w:eastAsia="仿宋_GB2312" w:cs="Times New Roman"/>
          <w:b w:val="0"/>
          <w:bCs w:val="0"/>
          <w:color w:val="auto"/>
          <w:spacing w:val="0"/>
          <w:sz w:val="32"/>
          <w:szCs w:val="32"/>
          <w:highlight w:val="none"/>
          <w:lang w:val="en-US" w:eastAsia="zh-CN"/>
        </w:rPr>
        <w:t>基本公共卫生服务</w:t>
      </w:r>
      <w:r>
        <w:rPr>
          <w:rFonts w:hint="eastAsia" w:ascii="Times New Roman" w:hAnsi="Times New Roman" w:eastAsia="仿宋_GB2312" w:cs="Times New Roman"/>
          <w:b w:val="0"/>
          <w:bCs w:val="0"/>
          <w:color w:val="auto"/>
          <w:spacing w:val="0"/>
          <w:sz w:val="32"/>
          <w:szCs w:val="32"/>
          <w:highlight w:val="none"/>
        </w:rPr>
        <w:t>（项）：指反映</w:t>
      </w:r>
      <w:r>
        <w:rPr>
          <w:rFonts w:hint="eastAsia" w:ascii="Times New Roman" w:hAnsi="Times New Roman" w:eastAsia="仿宋_GB2312" w:cs="Times New Roman"/>
          <w:b w:val="0"/>
          <w:bCs w:val="0"/>
          <w:color w:val="auto"/>
          <w:spacing w:val="0"/>
          <w:sz w:val="32"/>
          <w:szCs w:val="32"/>
          <w:highlight w:val="none"/>
          <w:lang w:val="en-US" w:eastAsia="zh-CN"/>
        </w:rPr>
        <w:t>部门</w:t>
      </w:r>
      <w:r>
        <w:rPr>
          <w:rFonts w:hint="eastAsia" w:ascii="Times New Roman" w:hAnsi="Times New Roman" w:eastAsia="仿宋_GB2312" w:cs="Times New Roman"/>
          <w:b w:val="0"/>
          <w:bCs w:val="0"/>
          <w:color w:val="auto"/>
          <w:spacing w:val="0"/>
          <w:sz w:val="32"/>
          <w:szCs w:val="32"/>
          <w:highlight w:val="none"/>
        </w:rPr>
        <w:t>用于</w:t>
      </w:r>
      <w:r>
        <w:rPr>
          <w:rFonts w:hint="eastAsia" w:ascii="Times New Roman" w:hAnsi="Times New Roman" w:eastAsia="仿宋_GB2312" w:cs="Times New Roman"/>
          <w:b w:val="0"/>
          <w:bCs w:val="0"/>
          <w:color w:val="auto"/>
          <w:spacing w:val="0"/>
          <w:sz w:val="32"/>
          <w:szCs w:val="32"/>
          <w:highlight w:val="none"/>
          <w:lang w:val="en-US" w:eastAsia="zh-CN"/>
        </w:rPr>
        <w:t>基本公共卫生服务</w:t>
      </w:r>
      <w:r>
        <w:rPr>
          <w:rFonts w:hint="eastAsia" w:ascii="Times New Roman" w:hAnsi="Times New Roman" w:eastAsia="仿宋_GB2312" w:cs="Times New Roman"/>
          <w:b w:val="0"/>
          <w:bCs w:val="0"/>
          <w:color w:val="auto"/>
          <w:spacing w:val="0"/>
          <w:sz w:val="32"/>
          <w:szCs w:val="32"/>
          <w:highlight w:val="none"/>
        </w:rPr>
        <w:t>支出。</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卫生健康支出（类）行政事业单位医疗（款）行政单位医疗（项）：指反映行政机关及参公管理事业单位用于缴纳单位基本医疗保险经费支出。</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卫生健康支出（类）行政事业单位医疗（款）事业单位医疗（项）：指反映事业单位用于缴纳单位基本医疗保险经费支出。</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城乡社区支出（类）城乡社区管理事务（款）</w:t>
      </w:r>
      <w:r>
        <w:rPr>
          <w:rFonts w:hint="eastAsia" w:ascii="Times New Roman" w:hAnsi="Times New Roman" w:eastAsia="仿宋_GB2312" w:cs="Times New Roman"/>
          <w:b w:val="0"/>
          <w:bCs w:val="0"/>
          <w:color w:val="auto"/>
          <w:spacing w:val="0"/>
          <w:sz w:val="32"/>
          <w:szCs w:val="32"/>
          <w:highlight w:val="none"/>
          <w:lang w:val="en-US" w:eastAsia="zh-CN"/>
        </w:rPr>
        <w:t>行政运行</w:t>
      </w:r>
      <w:r>
        <w:rPr>
          <w:rFonts w:hint="eastAsia" w:ascii="Times New Roman" w:hAnsi="Times New Roman" w:eastAsia="仿宋_GB2312" w:cs="Times New Roman"/>
          <w:b w:val="0"/>
          <w:bCs w:val="0"/>
          <w:color w:val="auto"/>
          <w:spacing w:val="0"/>
          <w:sz w:val="32"/>
          <w:szCs w:val="32"/>
          <w:highlight w:val="none"/>
        </w:rPr>
        <w:t>（项）：指反映</w:t>
      </w:r>
      <w:r>
        <w:rPr>
          <w:rFonts w:hint="eastAsia" w:ascii="Times New Roman" w:hAnsi="Times New Roman" w:eastAsia="仿宋_GB2312" w:cs="Times New Roman"/>
          <w:b w:val="0"/>
          <w:bCs w:val="0"/>
          <w:color w:val="auto"/>
          <w:spacing w:val="0"/>
          <w:sz w:val="32"/>
          <w:szCs w:val="32"/>
          <w:highlight w:val="none"/>
          <w:lang w:val="en-US" w:eastAsia="zh-CN"/>
        </w:rPr>
        <w:t>行政单位（包括实行公务员管理的事业单位）的基本支出</w:t>
      </w:r>
      <w:r>
        <w:rPr>
          <w:rFonts w:hint="eastAsia" w:ascii="Times New Roman" w:hAnsi="Times New Roman" w:eastAsia="仿宋_GB2312" w:cs="Times New Roman"/>
          <w:b w:val="0"/>
          <w:bCs w:val="0"/>
          <w:color w:val="auto"/>
          <w:spacing w:val="0"/>
          <w:sz w:val="32"/>
          <w:szCs w:val="32"/>
          <w:highlight w:val="none"/>
        </w:rPr>
        <w:t>。</w:t>
      </w:r>
    </w:p>
    <w:p>
      <w:pPr>
        <w:numPr>
          <w:ilvl w:val="0"/>
          <w:numId w:val="1"/>
        </w:numPr>
        <w:shd w:val="clear" w:color="010000" w:fill="auto"/>
        <w:spacing w:line="576" w:lineRule="exact"/>
        <w:ind w:left="0" w:leftChars="0" w:firstLine="400" w:firstLineChars="0"/>
        <w:rPr>
          <w:rFonts w:hint="eastAsia"/>
          <w:color w:val="auto"/>
          <w:highlight w:val="none"/>
        </w:rPr>
      </w:pPr>
      <w:r>
        <w:rPr>
          <w:rFonts w:hint="eastAsia" w:ascii="Times New Roman" w:hAnsi="Times New Roman" w:eastAsia="仿宋_GB2312" w:cs="Times New Roman"/>
          <w:b w:val="0"/>
          <w:bCs w:val="0"/>
          <w:color w:val="auto"/>
          <w:spacing w:val="0"/>
          <w:sz w:val="32"/>
          <w:szCs w:val="32"/>
          <w:highlight w:val="none"/>
        </w:rPr>
        <w:t>城乡社区支出（类）城乡社区管理事务（款）城管执法（项）：指反映城市管理综合行政执法、加强城市市容和环境卫生管理等方面的支出。</w:t>
      </w:r>
    </w:p>
    <w:p>
      <w:pPr>
        <w:numPr>
          <w:ilvl w:val="0"/>
          <w:numId w:val="1"/>
        </w:numPr>
        <w:shd w:val="clear" w:color="010000" w:fill="auto"/>
        <w:spacing w:line="560" w:lineRule="exact"/>
        <w:ind w:left="0" w:leftChars="0" w:firstLine="400" w:firstLineChars="0"/>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b w:val="0"/>
          <w:bCs w:val="0"/>
          <w:color w:val="auto"/>
          <w:spacing w:val="0"/>
          <w:sz w:val="32"/>
          <w:szCs w:val="32"/>
          <w:highlight w:val="none"/>
        </w:rPr>
        <w:t>城乡社区支出（类）城乡社区管理事务（款）其他城乡社区</w:t>
      </w:r>
      <w:r>
        <w:rPr>
          <w:rFonts w:hint="eastAsia" w:ascii="Times New Roman" w:hAnsi="Times New Roman" w:eastAsia="仿宋_GB2312" w:cs="Times New Roman"/>
          <w:b w:val="0"/>
          <w:bCs w:val="0"/>
          <w:color w:val="auto"/>
          <w:spacing w:val="0"/>
          <w:sz w:val="32"/>
          <w:szCs w:val="32"/>
          <w:highlight w:val="none"/>
          <w:lang w:val="en-US" w:eastAsia="zh-CN"/>
        </w:rPr>
        <w:t>管理事务</w:t>
      </w:r>
      <w:r>
        <w:rPr>
          <w:rFonts w:hint="eastAsia" w:ascii="Times New Roman" w:hAnsi="Times New Roman" w:eastAsia="仿宋_GB2312" w:cs="Times New Roman"/>
          <w:b w:val="0"/>
          <w:bCs w:val="0"/>
          <w:color w:val="auto"/>
          <w:spacing w:val="0"/>
          <w:sz w:val="32"/>
          <w:szCs w:val="32"/>
          <w:highlight w:val="none"/>
        </w:rPr>
        <w:t>支出（项）：指反映</w:t>
      </w:r>
      <w:r>
        <w:rPr>
          <w:rFonts w:hint="eastAsia" w:ascii="Times New Roman" w:hAnsi="Times New Roman" w:eastAsia="仿宋_GB2312" w:cs="Times New Roman"/>
          <w:b w:val="0"/>
          <w:bCs w:val="0"/>
          <w:color w:val="auto"/>
          <w:spacing w:val="0"/>
          <w:sz w:val="32"/>
          <w:szCs w:val="32"/>
          <w:highlight w:val="none"/>
          <w:lang w:val="en-US" w:eastAsia="zh-CN"/>
        </w:rPr>
        <w:t>用于</w:t>
      </w:r>
      <w:r>
        <w:rPr>
          <w:rFonts w:hint="eastAsia" w:ascii="仿宋_GB2312" w:hAnsi="仿宋_GB2312" w:eastAsia="仿宋_GB2312" w:cs="仿宋_GB2312"/>
          <w:color w:val="auto"/>
          <w:sz w:val="32"/>
          <w:szCs w:val="32"/>
          <w:highlight w:val="none"/>
        </w:rPr>
        <w:t>其他城乡社区管理事务方面的支出。</w:t>
      </w:r>
    </w:p>
    <w:p>
      <w:pPr>
        <w:numPr>
          <w:ilvl w:val="0"/>
          <w:numId w:val="1"/>
        </w:numPr>
        <w:shd w:val="clear" w:color="010000" w:fill="auto"/>
        <w:spacing w:line="560" w:lineRule="exact"/>
        <w:ind w:left="0" w:leftChars="0" w:firstLine="400" w:firstLineChars="0"/>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rPr>
        <w:t>城乡社区支出（类）</w:t>
      </w:r>
      <w:r>
        <w:rPr>
          <w:rFonts w:hint="eastAsia" w:ascii="Times New Roman" w:hAnsi="Times New Roman" w:eastAsia="仿宋_GB2312" w:cs="Times New Roman"/>
          <w:b w:val="0"/>
          <w:bCs w:val="0"/>
          <w:color w:val="auto"/>
          <w:spacing w:val="0"/>
          <w:sz w:val="32"/>
          <w:szCs w:val="32"/>
          <w:highlight w:val="none"/>
          <w:lang w:val="en-US" w:eastAsia="zh-CN"/>
        </w:rPr>
        <w:t>城市基础设施配套费安排的支出</w:t>
      </w:r>
      <w:r>
        <w:rPr>
          <w:rFonts w:hint="eastAsia" w:ascii="Times New Roman" w:hAnsi="Times New Roman" w:eastAsia="仿宋_GB2312" w:cs="Times New Roman"/>
          <w:b w:val="0"/>
          <w:bCs w:val="0"/>
          <w:color w:val="auto"/>
          <w:spacing w:val="0"/>
          <w:sz w:val="32"/>
          <w:szCs w:val="32"/>
          <w:highlight w:val="none"/>
        </w:rPr>
        <w:t>（款）</w:t>
      </w:r>
      <w:r>
        <w:rPr>
          <w:rFonts w:hint="eastAsia" w:ascii="Times New Roman" w:hAnsi="Times New Roman" w:eastAsia="仿宋_GB2312" w:cs="Times New Roman"/>
          <w:b w:val="0"/>
          <w:bCs w:val="0"/>
          <w:color w:val="auto"/>
          <w:spacing w:val="0"/>
          <w:sz w:val="32"/>
          <w:szCs w:val="32"/>
          <w:highlight w:val="none"/>
          <w:lang w:val="en-US" w:eastAsia="zh-CN"/>
        </w:rPr>
        <w:t>城市环境卫生</w:t>
      </w:r>
      <w:r>
        <w:rPr>
          <w:rFonts w:hint="eastAsia" w:ascii="Times New Roman" w:hAnsi="Times New Roman" w:eastAsia="仿宋_GB2312" w:cs="Times New Roman"/>
          <w:b w:val="0"/>
          <w:bCs w:val="0"/>
          <w:color w:val="auto"/>
          <w:spacing w:val="0"/>
          <w:sz w:val="32"/>
          <w:szCs w:val="32"/>
          <w:highlight w:val="none"/>
        </w:rPr>
        <w:t>（项）：指反映</w:t>
      </w:r>
      <w:r>
        <w:rPr>
          <w:rFonts w:hint="eastAsia" w:ascii="Times New Roman" w:hAnsi="Times New Roman" w:eastAsia="仿宋_GB2312" w:cs="Times New Roman"/>
          <w:b w:val="0"/>
          <w:bCs w:val="0"/>
          <w:color w:val="auto"/>
          <w:spacing w:val="0"/>
          <w:sz w:val="32"/>
          <w:szCs w:val="32"/>
          <w:highlight w:val="none"/>
          <w:lang w:val="en-US" w:eastAsia="zh-CN"/>
        </w:rPr>
        <w:t>道路清扫、垃圾清运与处理、污水处理、园林绿化等方面的支出。</w:t>
      </w:r>
    </w:p>
    <w:p>
      <w:pPr>
        <w:numPr>
          <w:ilvl w:val="0"/>
          <w:numId w:val="1"/>
        </w:numPr>
        <w:shd w:val="clear" w:color="010000" w:fill="auto"/>
        <w:spacing w:line="560" w:lineRule="exact"/>
        <w:ind w:left="0" w:leftChars="0" w:firstLine="400" w:firstLineChars="0"/>
        <w:rPr>
          <w:rFonts w:hint="default"/>
          <w:color w:val="auto"/>
          <w:highlight w:val="none"/>
          <w:lang w:val="en-US" w:eastAsia="zh-CN"/>
        </w:rPr>
      </w:pPr>
      <w:r>
        <w:rPr>
          <w:rFonts w:hint="eastAsia" w:ascii="Times New Roman" w:hAnsi="Times New Roman" w:eastAsia="仿宋_GB2312" w:cs="Times New Roman"/>
          <w:b w:val="0"/>
          <w:bCs w:val="0"/>
          <w:color w:val="auto"/>
          <w:spacing w:val="0"/>
          <w:sz w:val="32"/>
          <w:szCs w:val="32"/>
          <w:highlight w:val="none"/>
        </w:rPr>
        <w:t xml:space="preserve">城乡社区支出（类） </w:t>
      </w:r>
      <w:r>
        <w:rPr>
          <w:rFonts w:hint="eastAsia" w:ascii="Times New Roman" w:hAnsi="Times New Roman" w:eastAsia="仿宋_GB2312" w:cs="Times New Roman"/>
          <w:b w:val="0"/>
          <w:bCs w:val="0"/>
          <w:color w:val="auto"/>
          <w:spacing w:val="0"/>
          <w:sz w:val="32"/>
          <w:szCs w:val="32"/>
          <w:highlight w:val="none"/>
          <w:lang w:val="en-US" w:eastAsia="zh-CN"/>
        </w:rPr>
        <w:t>其他</w:t>
      </w:r>
      <w:r>
        <w:rPr>
          <w:rFonts w:hint="eastAsia" w:ascii="Times New Roman" w:hAnsi="Times New Roman" w:eastAsia="仿宋_GB2312" w:cs="Times New Roman"/>
          <w:b w:val="0"/>
          <w:bCs w:val="0"/>
          <w:color w:val="auto"/>
          <w:spacing w:val="0"/>
          <w:sz w:val="32"/>
          <w:szCs w:val="32"/>
          <w:highlight w:val="none"/>
        </w:rPr>
        <w:t xml:space="preserve">城乡社区支出（款） </w:t>
      </w:r>
      <w:r>
        <w:rPr>
          <w:rFonts w:hint="eastAsia" w:ascii="Times New Roman" w:hAnsi="Times New Roman" w:eastAsia="仿宋_GB2312" w:cs="Times New Roman"/>
          <w:b w:val="0"/>
          <w:bCs w:val="0"/>
          <w:color w:val="auto"/>
          <w:spacing w:val="0"/>
          <w:sz w:val="32"/>
          <w:szCs w:val="32"/>
          <w:highlight w:val="none"/>
          <w:lang w:val="en-US" w:eastAsia="zh-CN"/>
        </w:rPr>
        <w:t>其他</w:t>
      </w:r>
      <w:r>
        <w:rPr>
          <w:rFonts w:hint="eastAsia" w:ascii="Times New Roman" w:hAnsi="Times New Roman" w:eastAsia="仿宋_GB2312" w:cs="Times New Roman"/>
          <w:b w:val="0"/>
          <w:bCs w:val="0"/>
          <w:color w:val="auto"/>
          <w:spacing w:val="0"/>
          <w:sz w:val="32"/>
          <w:szCs w:val="32"/>
          <w:highlight w:val="none"/>
        </w:rPr>
        <w:t>城乡社区支出（项）：指反映</w:t>
      </w:r>
      <w:r>
        <w:rPr>
          <w:rFonts w:hint="eastAsia" w:ascii="Times New Roman" w:hAnsi="Times New Roman" w:eastAsia="仿宋_GB2312" w:cs="Times New Roman"/>
          <w:b w:val="0"/>
          <w:bCs w:val="0"/>
          <w:color w:val="auto"/>
          <w:spacing w:val="0"/>
          <w:sz w:val="32"/>
          <w:szCs w:val="32"/>
          <w:highlight w:val="none"/>
          <w:lang w:val="en-US" w:eastAsia="zh-CN"/>
        </w:rPr>
        <w:t>用于</w:t>
      </w:r>
      <w:r>
        <w:rPr>
          <w:rFonts w:hint="eastAsia" w:ascii="仿宋_GB2312" w:hAnsi="仿宋_GB2312" w:eastAsia="仿宋_GB2312" w:cs="仿宋_GB2312"/>
          <w:color w:val="auto"/>
          <w:sz w:val="32"/>
          <w:szCs w:val="32"/>
          <w:highlight w:val="none"/>
        </w:rPr>
        <w:t>其他城乡社区方面的支出</w:t>
      </w:r>
      <w:r>
        <w:rPr>
          <w:rFonts w:hint="eastAsia" w:ascii="Times New Roman" w:hAnsi="Times New Roman" w:eastAsia="仿宋_GB2312" w:cs="Times New Roman"/>
          <w:b w:val="0"/>
          <w:bCs w:val="0"/>
          <w:color w:val="auto"/>
          <w:spacing w:val="0"/>
          <w:sz w:val="32"/>
          <w:szCs w:val="32"/>
          <w:highlight w:val="none"/>
          <w:lang w:val="en-US" w:eastAsia="zh-CN"/>
        </w:rPr>
        <w:t>。</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住房保障支出（类）住房改革支出（款）住房公积金（项）：指反映行政事业单位按人力资源和社会保障部、财政部规定的基本工资和津补贴以及规定比例为职工缴纳的住房公积金。</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基本支出：指为保障机构正常运转、完成日常工作任务而发生的人员支出和公用支出。</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项目支出：指除基本支出之外，按照法定职责，用于城市管理方面经费支出。包括城乡环境综合治理、市容环境卫生整治、流浪犬只管理、</w:t>
      </w:r>
      <w:r>
        <w:rPr>
          <w:rFonts w:hint="eastAsia" w:ascii="Times New Roman" w:hAnsi="Times New Roman" w:eastAsia="仿宋_GB2312" w:cs="Times New Roman"/>
          <w:b w:val="0"/>
          <w:bCs w:val="0"/>
          <w:color w:val="auto"/>
          <w:spacing w:val="0"/>
          <w:sz w:val="32"/>
          <w:szCs w:val="32"/>
          <w:highlight w:val="none"/>
          <w:lang w:val="en-US" w:eastAsia="zh-CN"/>
        </w:rPr>
        <w:t>市生活垃圾分类与服务</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市城区病媒生物防制、</w:t>
      </w:r>
      <w:r>
        <w:rPr>
          <w:rFonts w:hint="eastAsia" w:ascii="Times New Roman" w:hAnsi="Times New Roman" w:eastAsia="仿宋_GB2312" w:cs="Times New Roman"/>
          <w:b w:val="0"/>
          <w:bCs w:val="0"/>
          <w:color w:val="auto"/>
          <w:spacing w:val="0"/>
          <w:sz w:val="32"/>
          <w:szCs w:val="32"/>
          <w:highlight w:val="none"/>
        </w:rPr>
        <w:t>数字化城市管理和信息化建设、</w:t>
      </w:r>
      <w:r>
        <w:rPr>
          <w:rFonts w:hint="eastAsia" w:ascii="仿宋_GB2312" w:hAnsi="仿宋_GB2312" w:eastAsia="仿宋_GB2312" w:cs="仿宋_GB2312"/>
          <w:color w:val="auto"/>
          <w:sz w:val="32"/>
          <w:szCs w:val="32"/>
          <w:highlight w:val="none"/>
        </w:rPr>
        <w:t>火车站站前管理事务中心</w:t>
      </w:r>
      <w:r>
        <w:rPr>
          <w:rFonts w:hint="eastAsia" w:ascii="仿宋_GB2312" w:hAnsi="仿宋_GB2312" w:eastAsia="仿宋_GB2312" w:cs="仿宋_GB2312"/>
          <w:color w:val="auto"/>
          <w:sz w:val="32"/>
          <w:szCs w:val="32"/>
          <w:highlight w:val="none"/>
          <w:lang w:val="en-US" w:eastAsia="zh-CN"/>
        </w:rPr>
        <w:t>的</w:t>
      </w:r>
      <w:r>
        <w:rPr>
          <w:rFonts w:hint="eastAsia" w:ascii="Times New Roman" w:hAnsi="Times New Roman" w:eastAsia="仿宋_GB2312" w:cs="Times New Roman"/>
          <w:b w:val="0"/>
          <w:bCs w:val="0"/>
          <w:color w:val="auto"/>
          <w:spacing w:val="0"/>
          <w:sz w:val="32"/>
          <w:szCs w:val="32"/>
          <w:highlight w:val="none"/>
        </w:rPr>
        <w:t>管理以及机动车违法停放、社会生活噪声污染、建筑施工扬尘污染、饮食服务业油烟污染执法等支出。</w:t>
      </w:r>
    </w:p>
    <w:p>
      <w:pPr>
        <w:numPr>
          <w:ilvl w:val="0"/>
          <w:numId w:val="1"/>
        </w:numPr>
        <w:shd w:val="clear" w:color="010000" w:fill="auto"/>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1"/>
        </w:numPr>
        <w:shd w:val="clear" w:color="010000" w:fill="auto"/>
        <w:spacing w:beforeLines="0" w:afterLines="0" w:line="576" w:lineRule="exact"/>
        <w:ind w:left="0" w:leftChars="0" w:firstLine="400" w:firstLineChars="0"/>
        <w:jc w:val="both"/>
        <w:rPr>
          <w:rFonts w:hint="eastAsia" w:ascii="仿宋_GB2312" w:hAnsi="仿宋_GB2312" w:eastAsia="仿宋_GB2312"/>
          <w:color w:val="auto"/>
          <w:kern w:val="2"/>
          <w:sz w:val="32"/>
          <w:szCs w:val="24"/>
          <w:highlight w:val="none"/>
          <w:lang w:val="zh-CN"/>
        </w:rPr>
      </w:pPr>
      <w:r>
        <w:rPr>
          <w:rFonts w:hint="eastAsia" w:eastAsia="仿宋_GB2312"/>
          <w:b w:val="0"/>
          <w:bCs w:val="0"/>
          <w:color w:val="auto"/>
          <w:spacing w:val="0"/>
          <w:sz w:val="32"/>
          <w:szCs w:val="32"/>
          <w:highlight w:val="none"/>
        </w:rPr>
        <w:t>机关运行经费：为保障行政单位（含参照公务员法管理的事业单位）运行用于购买货物和服务的各项资金，包括办公及印刷费、</w:t>
      </w:r>
      <w:r>
        <w:rPr>
          <w:rFonts w:hint="eastAsia" w:ascii="仿宋" w:hAnsi="仿宋" w:eastAsia="仿宋"/>
          <w:color w:val="auto"/>
          <w:kern w:val="2"/>
          <w:sz w:val="32"/>
          <w:szCs w:val="24"/>
          <w:highlight w:val="none"/>
          <w:lang w:val="en-US"/>
        </w:rPr>
        <w:t>手续费、邮电费、差旅费、维修（护）费、租赁费、会议费、培训费、公务接待费、</w:t>
      </w:r>
      <w:r>
        <w:rPr>
          <w:rFonts w:hint="eastAsia" w:ascii="仿宋" w:hAnsi="仿宋" w:eastAsia="仿宋"/>
          <w:color w:val="auto"/>
          <w:kern w:val="2"/>
          <w:sz w:val="32"/>
          <w:szCs w:val="24"/>
          <w:highlight w:val="none"/>
          <w:lang w:val="en-US" w:eastAsia="zh-CN"/>
        </w:rPr>
        <w:t>专用材料费、</w:t>
      </w:r>
      <w:r>
        <w:rPr>
          <w:rFonts w:hint="eastAsia" w:ascii="仿宋" w:hAnsi="仿宋" w:eastAsia="仿宋"/>
          <w:color w:val="auto"/>
          <w:kern w:val="2"/>
          <w:sz w:val="32"/>
          <w:szCs w:val="24"/>
          <w:highlight w:val="none"/>
          <w:lang w:val="en-US"/>
        </w:rPr>
        <w:t>劳务费、委托业务费、</w:t>
      </w:r>
      <w:r>
        <w:rPr>
          <w:rFonts w:hint="eastAsia" w:eastAsia="仿宋_GB2312"/>
          <w:b w:val="0"/>
          <w:bCs w:val="0"/>
          <w:color w:val="auto"/>
          <w:spacing w:val="0"/>
          <w:sz w:val="32"/>
          <w:szCs w:val="32"/>
          <w:highlight w:val="none"/>
        </w:rPr>
        <w:t>办公用房水电费、办公用房物业管理费</w:t>
      </w:r>
      <w:r>
        <w:rPr>
          <w:rFonts w:hint="eastAsia" w:eastAsia="仿宋_GB2312"/>
          <w:b w:val="0"/>
          <w:bCs w:val="0"/>
          <w:color w:val="auto"/>
          <w:spacing w:val="0"/>
          <w:sz w:val="32"/>
          <w:szCs w:val="32"/>
          <w:highlight w:val="none"/>
          <w:lang w:eastAsia="zh-CN"/>
        </w:rPr>
        <w:t>、</w:t>
      </w:r>
      <w:r>
        <w:rPr>
          <w:rFonts w:hint="eastAsia" w:ascii="仿宋" w:hAnsi="仿宋" w:eastAsia="仿宋"/>
          <w:color w:val="auto"/>
          <w:kern w:val="2"/>
          <w:sz w:val="32"/>
          <w:szCs w:val="24"/>
          <w:highlight w:val="none"/>
          <w:lang w:val="en-US"/>
        </w:rPr>
        <w:t>工会经费、福利费、公务用车运行维护费、其他交通费、其他商品和服务支出、办公设备购置等</w:t>
      </w:r>
      <w:r>
        <w:rPr>
          <w:rFonts w:hint="eastAsia" w:ascii="仿宋_GB2312" w:hAnsi="仿宋_GB2312" w:eastAsia="仿宋_GB2312"/>
          <w:color w:val="auto"/>
          <w:kern w:val="2"/>
          <w:sz w:val="32"/>
          <w:szCs w:val="24"/>
          <w:highlight w:val="none"/>
          <w:lang w:val="zh-CN"/>
        </w:rPr>
        <w:t>。</w:t>
      </w:r>
    </w:p>
    <w:p>
      <w:pPr>
        <w:rPr>
          <w:rFonts w:hint="eastAsia" w:ascii="黑体" w:hAnsi="黑体" w:eastAsia="黑体" w:cs="黑体"/>
          <w:color w:val="auto"/>
          <w:kern w:val="44"/>
          <w:sz w:val="44"/>
          <w:szCs w:val="24"/>
          <w:highlight w:val="none"/>
          <w:lang w:val="en-US"/>
        </w:rPr>
      </w:pPr>
      <w:r>
        <w:rPr>
          <w:rFonts w:hint="eastAsia" w:ascii="仿宋_GB2312" w:hAnsi="仿宋_GB2312" w:eastAsia="仿宋_GB2312"/>
          <w:color w:val="auto"/>
          <w:kern w:val="2"/>
          <w:sz w:val="32"/>
          <w:szCs w:val="24"/>
          <w:highlight w:val="none"/>
          <w:lang w:val="zh-CN"/>
        </w:rPr>
        <w:br w:type="page"/>
      </w:r>
    </w:p>
    <w:p>
      <w:pPr>
        <w:numPr>
          <w:numId w:val="0"/>
        </w:numPr>
        <w:shd w:val="clear" w:color="010000" w:fill="auto"/>
        <w:spacing w:beforeLines="0" w:afterLines="0" w:line="600" w:lineRule="exact"/>
        <w:jc w:val="center"/>
        <w:outlineLvl w:val="0"/>
        <w:rPr>
          <w:rFonts w:hint="eastAsia" w:ascii="黑体" w:hAnsi="黑体" w:eastAsia="黑体"/>
          <w:color w:val="auto"/>
          <w:kern w:val="44"/>
          <w:sz w:val="44"/>
          <w:szCs w:val="24"/>
          <w:highlight w:val="none"/>
          <w:lang w:val="en-US"/>
        </w:rPr>
      </w:pPr>
      <w:bookmarkStart w:id="17" w:name="_Toc12635"/>
      <w:r>
        <w:rPr>
          <w:rFonts w:hint="eastAsia" w:ascii="黑体" w:hAnsi="黑体" w:eastAsia="黑体" w:cs="黑体"/>
          <w:color w:val="auto"/>
          <w:kern w:val="44"/>
          <w:sz w:val="44"/>
          <w:szCs w:val="24"/>
          <w:highlight w:val="none"/>
          <w:lang w:val="en-US"/>
        </w:rPr>
        <w:t>第四部分</w:t>
      </w:r>
      <w:r>
        <w:rPr>
          <w:rFonts w:hint="eastAsia" w:ascii="黑体" w:hAnsi="黑体" w:eastAsia="黑体" w:cs="黑体"/>
          <w:color w:val="auto"/>
          <w:kern w:val="44"/>
          <w:sz w:val="44"/>
          <w:szCs w:val="24"/>
          <w:highlight w:val="none"/>
          <w:lang w:val="en-US" w:eastAsia="zh-CN"/>
        </w:rPr>
        <w:t xml:space="preserve"> </w:t>
      </w:r>
      <w:r>
        <w:rPr>
          <w:rFonts w:hint="eastAsia" w:ascii="黑体" w:hAnsi="黑体" w:eastAsia="黑体"/>
          <w:color w:val="auto"/>
          <w:kern w:val="44"/>
          <w:sz w:val="44"/>
          <w:szCs w:val="24"/>
          <w:highlight w:val="none"/>
          <w:lang w:val="en-US"/>
        </w:rPr>
        <w:t>附件</w:t>
      </w:r>
      <w:bookmarkEnd w:id="17"/>
    </w:p>
    <w:p>
      <w:pPr>
        <w:pStyle w:val="2"/>
        <w:numPr>
          <w:numId w:val="0"/>
        </w:numPr>
        <w:shd w:val="clear" w:color="020000" w:fill="auto"/>
        <w:rPr>
          <w:rFonts w:hint="eastAsia"/>
          <w:color w:val="auto"/>
          <w:highlight w:val="none"/>
          <w:lang w:val="en-US"/>
        </w:rPr>
      </w:pPr>
    </w:p>
    <w:p>
      <w:pPr>
        <w:keepNext/>
        <w:keepLines/>
        <w:shd w:val="clear" w:color="020000" w:fill="auto"/>
        <w:spacing w:beforeLines="0" w:afterLines="0" w:line="572" w:lineRule="exact"/>
        <w:outlineLvl w:val="1"/>
        <w:rPr>
          <w:rFonts w:hint="default" w:ascii="方正小标宋简体" w:hAnsi="方正小标宋简体" w:eastAsia="黑体"/>
          <w:color w:val="auto"/>
          <w:kern w:val="2"/>
          <w:sz w:val="32"/>
          <w:szCs w:val="32"/>
          <w:highlight w:val="none"/>
          <w:lang w:val="en-US" w:eastAsia="zh-CN"/>
        </w:rPr>
      </w:pPr>
      <w:bookmarkStart w:id="18" w:name="_Toc27393"/>
      <w:r>
        <w:rPr>
          <w:rFonts w:hint="eastAsia" w:ascii="黑体" w:hAnsi="黑体" w:eastAsia="黑体"/>
          <w:color w:val="auto"/>
          <w:kern w:val="2"/>
          <w:sz w:val="32"/>
          <w:szCs w:val="32"/>
          <w:highlight w:val="none"/>
          <w:lang w:val="en-US"/>
        </w:rPr>
        <w:t>附件</w:t>
      </w:r>
      <w:r>
        <w:rPr>
          <w:rFonts w:hint="eastAsia" w:ascii="黑体" w:hAnsi="黑体" w:eastAsia="黑体"/>
          <w:color w:val="auto"/>
          <w:kern w:val="2"/>
          <w:sz w:val="32"/>
          <w:szCs w:val="32"/>
          <w:highlight w:val="none"/>
          <w:lang w:val="en-US" w:eastAsia="zh-CN"/>
        </w:rPr>
        <w:t>1</w:t>
      </w:r>
      <w:bookmarkEnd w:id="18"/>
    </w:p>
    <w:p>
      <w:pPr>
        <w:widowControl/>
        <w:shd w:val="clear" w:color="040000" w:fill="auto"/>
        <w:wordWrap/>
        <w:adjustRightInd/>
        <w:snapToGrid/>
        <w:spacing w:line="700" w:lineRule="exact"/>
        <w:contextualSpacing/>
        <w:jc w:val="center"/>
        <w:textAlignment w:val="auto"/>
        <w:rPr>
          <w:rFonts w:hint="eastAsia" w:ascii="方正小标宋简体" w:hAnsi="华文中宋" w:eastAsia="方正小标宋简体" w:cs="Times New Roman"/>
          <w:bCs/>
          <w:color w:val="auto"/>
          <w:sz w:val="44"/>
          <w:szCs w:val="44"/>
          <w:highlight w:val="none"/>
          <w:lang w:val="en-US" w:eastAsia="zh-CN"/>
        </w:rPr>
      </w:pPr>
      <w:r>
        <w:rPr>
          <w:rFonts w:hint="eastAsia" w:ascii="方正小标宋简体" w:hAnsi="华文中宋" w:eastAsia="方正小标宋简体" w:cs="Times New Roman"/>
          <w:bCs/>
          <w:color w:val="auto"/>
          <w:sz w:val="44"/>
          <w:szCs w:val="44"/>
          <w:highlight w:val="none"/>
          <w:lang w:val="en-US" w:eastAsia="zh-CN"/>
        </w:rPr>
        <w:t>广元市城市管理行政执法局</w:t>
      </w:r>
    </w:p>
    <w:p>
      <w:pPr>
        <w:widowControl/>
        <w:shd w:val="clear" w:color="040000" w:fill="auto"/>
        <w:wordWrap/>
        <w:adjustRightInd/>
        <w:snapToGrid/>
        <w:spacing w:line="700" w:lineRule="exact"/>
        <w:contextualSpacing/>
        <w:jc w:val="center"/>
        <w:textAlignment w:val="auto"/>
        <w:rPr>
          <w:rFonts w:hint="default" w:ascii="方正小标宋简体" w:hAnsi="方正小标宋简体" w:eastAsia="方正小标宋简体" w:cs="方正小标宋简体"/>
          <w:b w:val="0"/>
          <w:bCs w:val="0"/>
          <w:color w:val="auto"/>
          <w:sz w:val="44"/>
          <w:szCs w:val="44"/>
          <w:highlight w:val="none"/>
          <w:shd w:val="clear" w:color="auto"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rPr>
        <w:t>20</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22</w:t>
      </w:r>
      <w:r>
        <w:rPr>
          <w:rFonts w:hint="eastAsia" w:ascii="方正小标宋简体" w:hAnsi="方正小标宋简体" w:eastAsia="方正小标宋简体" w:cs="方正小标宋简体"/>
          <w:b w:val="0"/>
          <w:bCs w:val="0"/>
          <w:color w:val="auto"/>
          <w:sz w:val="44"/>
          <w:szCs w:val="44"/>
          <w:highlight w:val="none"/>
          <w:shd w:val="clear" w:color="auto" w:fill="FFFFFF"/>
        </w:rPr>
        <w:t>年</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度</w:t>
      </w:r>
      <w:r>
        <w:rPr>
          <w:rFonts w:hint="eastAsia" w:ascii="方正小标宋简体" w:hAnsi="方正小标宋简体" w:eastAsia="方正小标宋简体" w:cs="方正小标宋简体"/>
          <w:b w:val="0"/>
          <w:bCs w:val="0"/>
          <w:color w:val="auto"/>
          <w:sz w:val="44"/>
          <w:szCs w:val="44"/>
          <w:highlight w:val="none"/>
          <w:shd w:val="clear" w:color="auto" w:fill="FFFFFF"/>
        </w:rPr>
        <w:t>部门整体</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color w:val="auto"/>
          <w:sz w:val="44"/>
          <w:szCs w:val="44"/>
          <w:highlight w:val="none"/>
          <w:shd w:val="clear" w:color="auto" w:fill="FFFFFF"/>
        </w:rPr>
        <w:t>绩效</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自评</w:t>
      </w:r>
      <w:r>
        <w:rPr>
          <w:rFonts w:hint="default" w:ascii="方正小标宋简体" w:hAnsi="方正小标宋简体" w:eastAsia="方正小标宋简体" w:cs="方正小标宋简体"/>
          <w:b w:val="0"/>
          <w:bCs w:val="0"/>
          <w:color w:val="auto"/>
          <w:sz w:val="44"/>
          <w:szCs w:val="44"/>
          <w:highlight w:val="none"/>
          <w:shd w:val="clear" w:color="auto" w:fill="FFFFFF"/>
          <w:lang w:eastAsia="zh-CN"/>
        </w:rPr>
        <w:t>报告</w:t>
      </w:r>
    </w:p>
    <w:p>
      <w:pPr>
        <w:pStyle w:val="8"/>
        <w:widowControl w:val="0"/>
        <w:shd w:val="clear" w:color="050000" w:fill="auto"/>
        <w:wordWrap/>
        <w:spacing w:after="0" w:line="576" w:lineRule="exact"/>
        <w:ind w:leftChars="0" w:firstLine="0" w:firstLineChars="0"/>
        <w:textAlignment w:val="auto"/>
        <w:rPr>
          <w:rFonts w:hint="eastAsia"/>
          <w:color w:val="auto"/>
          <w:highlight w:val="none"/>
          <w:lang w:eastAsia="zh-CN"/>
        </w:rPr>
      </w:pPr>
    </w:p>
    <w:p>
      <w:pPr>
        <w:pStyle w:val="8"/>
        <w:widowControl w:val="0"/>
        <w:shd w:val="clear" w:color="050000" w:fill="auto"/>
        <w:wordWrap/>
        <w:spacing w:after="0" w:line="576" w:lineRule="exact"/>
        <w:ind w:leftChars="0"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市财政局：</w:t>
      </w:r>
    </w:p>
    <w:p>
      <w:pPr>
        <w:widowControl w:val="0"/>
        <w:shd w:val="clear" w:color="040000" w:fill="auto"/>
        <w:kinsoku w:val="0"/>
        <w:wordWrap/>
        <w:autoSpaceDE w:val="0"/>
        <w:autoSpaceDN w:val="0"/>
        <w:adjustRightInd w:val="0"/>
        <w:snapToGrid w:val="0"/>
        <w:spacing w:line="576" w:lineRule="exact"/>
        <w:ind w:firstLine="640" w:firstLineChars="200"/>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按照你局《关于开展2022年度市级部门绩效自评工作的通知》（广财绩〔2023〕5号）要求，我局认真组织开展2022年部门整体支出绩效自评工作，现将有关情况报送如下。</w:t>
      </w:r>
    </w:p>
    <w:p>
      <w:pPr>
        <w:widowControl w:val="0"/>
        <w:numPr>
          <w:numId w:val="0"/>
        </w:numPr>
        <w:shd w:val="clear" w:color="050000" w:fill="auto"/>
        <w:wordWrap/>
        <w:adjustRightInd w:val="0"/>
        <w:snapToGrid w:val="0"/>
        <w:spacing w:line="576" w:lineRule="exact"/>
        <w:ind w:firstLine="640" w:firstLineChars="200"/>
        <w:contextualSpacing/>
        <w:jc w:val="left"/>
        <w:textAlignment w:val="auto"/>
        <w:outlineLvl w:val="1"/>
        <w:rPr>
          <w:rFonts w:hint="eastAsia" w:ascii="方正黑体简体" w:hAnsi="方正黑体简体" w:eastAsia="方正黑体简体" w:cs="方正黑体简体"/>
          <w:b w:val="0"/>
          <w:bCs w:val="0"/>
          <w:color w:val="auto"/>
          <w:kern w:val="0"/>
          <w:sz w:val="32"/>
          <w:szCs w:val="32"/>
          <w:highlight w:val="none"/>
          <w:shd w:val="clear" w:color="auto" w:fill="FFFFFF"/>
          <w:lang w:val="zh-CN"/>
        </w:rPr>
      </w:pPr>
      <w:bookmarkStart w:id="19" w:name="_Toc20395"/>
      <w:r>
        <w:rPr>
          <w:rFonts w:hint="eastAsia" w:ascii="方正黑体简体" w:hAnsi="方正黑体简体" w:eastAsia="方正黑体简体" w:cs="方正黑体简体"/>
          <w:b w:val="0"/>
          <w:bCs w:val="0"/>
          <w:color w:val="auto"/>
          <w:kern w:val="0"/>
          <w:sz w:val="32"/>
          <w:szCs w:val="32"/>
          <w:highlight w:val="none"/>
          <w:shd w:val="clear" w:color="auto" w:fill="FFFFFF"/>
          <w:lang w:val="zh-CN"/>
        </w:rPr>
        <w:t>一、部门（单位）基本情况</w:t>
      </w:r>
      <w:bookmarkEnd w:id="19"/>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（一）机构组成</w:t>
      </w:r>
    </w:p>
    <w:p>
      <w:pPr>
        <w:pStyle w:val="8"/>
        <w:widowControl w:val="0"/>
        <w:shd w:val="clear" w:color="050000" w:fill="auto"/>
        <w:wordWrap/>
        <w:adjustRightInd w:val="0"/>
        <w:snapToGrid/>
        <w:spacing w:after="0"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市城市管理行政执法局下属二级预算</w:t>
      </w:r>
      <w:r>
        <w:rPr>
          <w:rFonts w:hint="default" w:ascii="仿宋_GB2312" w:hAnsi="仿宋_GB2312" w:eastAsia="仿宋_GB2312" w:cs="仿宋_GB2312"/>
          <w:color w:val="auto"/>
          <w:sz w:val="32"/>
          <w:szCs w:val="32"/>
          <w:highlight w:val="none"/>
          <w:lang w:val="en-US" w:eastAsia="zh-CN"/>
        </w:rPr>
        <w:t>单位2个，其</w:t>
      </w:r>
      <w:r>
        <w:rPr>
          <w:rFonts w:hint="eastAsia" w:ascii="仿宋_GB2312" w:hAnsi="仿宋_GB2312" w:eastAsia="仿宋_GB2312" w:cs="仿宋_GB2312"/>
          <w:color w:val="auto"/>
          <w:sz w:val="32"/>
          <w:szCs w:val="32"/>
          <w:highlight w:val="none"/>
          <w:lang w:val="en-US" w:eastAsia="zh-CN"/>
        </w:rPr>
        <w:t>中行政单位1个（含3个财务统管事业单位），其他事业单位1个。主要包括：广元市城市管理行政执法局（本级）、广元市生活垃圾分类中心。</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（二）机构职能</w:t>
      </w:r>
    </w:p>
    <w:p>
      <w:pPr>
        <w:pStyle w:val="8"/>
        <w:widowControl w:val="0"/>
        <w:shd w:val="clear" w:color="050000" w:fill="auto"/>
        <w:wordWrap/>
        <w:adjustRightInd w:val="0"/>
        <w:snapToGrid/>
        <w:spacing w:after="0"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lang w:eastAsia="zh-CN"/>
        </w:rPr>
        <w:t>管理职能。负责城乡环境综合治理、爱国卫生、生活垃圾分类等管理；牵头负责上西火车站站前综合管理；负责路标路牌、报刊电话亭、公交站牌、非机动车停放点、户外广告和店招店牌设置，临时占用城市道路等许可。</w:t>
      </w:r>
    </w:p>
    <w:p>
      <w:pPr>
        <w:pStyle w:val="8"/>
        <w:widowControl w:val="0"/>
        <w:shd w:val="clear" w:color="050000" w:fill="auto"/>
        <w:wordWrap/>
        <w:adjustRightInd w:val="0"/>
        <w:snapToGrid/>
        <w:spacing w:after="0"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sectPr>
          <w:footerReference r:id="rId7" w:type="default"/>
          <w:pgSz w:w="11906" w:h="16838"/>
          <w:pgMar w:top="2098" w:right="1474" w:bottom="1474" w:left="1587" w:header="851" w:footer="1020" w:gutter="0"/>
          <w:pgNumType w:fmt="decimal" w:start="1"/>
          <w:cols w:space="720" w:num="1"/>
          <w:rtlGutter w:val="0"/>
          <w:docGrid w:type="lines" w:linePitch="435" w:charSpace="0"/>
        </w:sectPr>
      </w:pPr>
    </w:p>
    <w:p>
      <w:pPr>
        <w:pStyle w:val="8"/>
        <w:widowControl w:val="0"/>
        <w:shd w:val="clear" w:color="050000" w:fill="auto"/>
        <w:wordWrap/>
        <w:adjustRightInd w:val="0"/>
        <w:snapToGrid/>
        <w:spacing w:after="0"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执法职能。行使住房城乡建设领域法律、法规、规章规定的全部行政处罚权；行使市容环境方面的全部行政处罚权；行使环境保护管理方面建筑施工扬尘、噪声污染，社会生活噪声污染等法律、法规、规章规定的部分行政处罚权；行使市场监督管理方面法律、法规、规章规定的对无固定经营场所的无照商贩、场外（店外）无证饮食摊点的行政处罚权；行使公安交通管理方面法律、法规、规章规定的对违法停放车辆、侵占城市道路行为的行政处罚权；行使公安治安管理方面法律、法规、规章规定的对违反犬只管理的行政处罚权。</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w:t>
      </w:r>
      <w:r>
        <w:rPr>
          <w:rFonts w:hint="eastAsia" w:ascii="方正楷体简体" w:hAnsi="方正楷体简体" w:eastAsia="方正楷体简体" w:cs="方正楷体简体"/>
          <w:color w:val="auto"/>
          <w:sz w:val="32"/>
          <w:szCs w:val="32"/>
          <w:highlight w:val="none"/>
          <w:lang w:val="en-US" w:eastAsia="zh-CN"/>
        </w:rPr>
        <w:t>三</w:t>
      </w:r>
      <w:r>
        <w:rPr>
          <w:rFonts w:hint="eastAsia" w:ascii="方正楷体简体" w:hAnsi="方正楷体简体" w:eastAsia="方正楷体简体" w:cs="方正楷体简体"/>
          <w:color w:val="auto"/>
          <w:sz w:val="32"/>
          <w:szCs w:val="32"/>
          <w:highlight w:val="none"/>
          <w:lang w:val="zh-CN" w:eastAsia="zh-CN"/>
        </w:rPr>
        <w:t>）人员概况</w:t>
      </w:r>
    </w:p>
    <w:p>
      <w:pPr>
        <w:widowControl w:val="0"/>
        <w:shd w:val="clear" w:color="040000" w:fill="auto"/>
        <w:wordWrap/>
        <w:adjustRightInd/>
        <w:snapToGrid/>
        <w:spacing w:line="576" w:lineRule="exact"/>
        <w:ind w:leftChars="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部门总编制147个，其中：行政编制19个，事业编制126个，工勤编制2个。在职人员160人，其中：行政人员19人，行政执法人员101人，事业人员19人，工勤人员21人（工勤编自动减员）；退休人员36人。</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en-US" w:eastAsia="zh-CN"/>
        </w:rPr>
        <w:t>四</w:t>
      </w:r>
      <w:r>
        <w:rPr>
          <w:rFonts w:hint="eastAsia"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en-US" w:eastAsia="zh-CN"/>
        </w:rPr>
        <w:t>2022</w:t>
      </w:r>
      <w:r>
        <w:rPr>
          <w:rFonts w:hint="eastAsia" w:ascii="方正楷体简体" w:hAnsi="方正楷体简体" w:eastAsia="方正楷体简体" w:cs="方正楷体简体"/>
          <w:color w:val="auto"/>
          <w:sz w:val="32"/>
          <w:szCs w:val="32"/>
          <w:highlight w:val="none"/>
          <w:lang w:val="zh-CN"/>
        </w:rPr>
        <w:t>年主要工作任务</w:t>
      </w:r>
    </w:p>
    <w:p>
      <w:pPr>
        <w:widowControl w:val="0"/>
        <w:shd w:val="clear" w:color="040000" w:fill="auto"/>
        <w:wordWrap/>
        <w:adjustRightInd/>
        <w:snapToGrid/>
        <w:spacing w:line="576" w:lineRule="exact"/>
        <w:ind w:leftChars="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一是强化政治理论学习。深入学习贯彻习近平新时代中国特色社会主义思想和对城市管理、生活垃圾分类、爱国卫生工作系列重要指示精神。二是加强城市精细管理。围绕创建全国文明城市，抓好“街长制”实施，深入开展市容环境规范整治行动，开创城市共建共治共享新局面。三是抓好生活垃圾分类。加大垃圾分类执法宣传，提高居民参与率，推进“两网”融合。加强垃圾分类服务企业监督管理，严格生活垃圾分类执法。四是深化城乡环境综合治理。加快城乡垃圾处理设施“三推”项目建设。打好铁路沿线环境综合整治收官战，健全落实“双段长”责任制，努力实现环境净、面貌新。五是广泛开展爱国卫生运动。制定广元市爱国卫生运动实施意见，开展爱国卫生月等活动，抓好卫生细胞创建巩固，抓好病媒生物防制，有效控制“四害”密度。六是着力优化营商环境。深化“放管服”改革，进一步优化行政审批流程，推进“一网通办”能力提升，持续优化营商环境。坚持服务优先，规范管理行为，抓好“双随机、一公开”。七是加强法治政府建设。深入开展“八五”普法宣传，抓好创建全国法治政府建设示范市工作。强化行政执法，加强执法人员业务培训，提升执法人员办案能力和水平。</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（五）部门整体支出绩效目标</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认真编办部门预决算，及时在政府网站和局部门网站公开，主动接受监督；严控“三公经费”，落实“过紧日子”十三条措施，厉行勤俭节约；严格预算执行，预算支出有理有据，保证资金规范；做好资金管理，严格执行“收支两条线”</w:t>
      </w:r>
      <w:r>
        <w:rPr>
          <w:rFonts w:hint="eastAsia" w:ascii="仿宋_GB2312" w:hAnsi="仿宋_GB2312" w:eastAsia="仿宋_GB2312" w:cs="仿宋_GB2312"/>
          <w:color w:val="auto"/>
          <w:sz w:val="32"/>
          <w:szCs w:val="32"/>
          <w:highlight w:val="none"/>
          <w:lang w:val="zh-CN" w:eastAsia="zh-CN"/>
        </w:rPr>
        <w:t>资金存放依法合规</w:t>
      </w:r>
      <w:r>
        <w:rPr>
          <w:rFonts w:hint="eastAsia" w:ascii="仿宋_GB2312" w:hAnsi="仿宋_GB2312" w:eastAsia="仿宋_GB2312" w:cs="仿宋_GB2312"/>
          <w:color w:val="auto"/>
          <w:sz w:val="32"/>
          <w:szCs w:val="32"/>
          <w:highlight w:val="none"/>
          <w:lang w:val="en-US" w:eastAsia="zh-CN"/>
        </w:rPr>
        <w:t>；加强资产管理，实行资产盘点与审批手续，保证国有资产无流失现象。</w:t>
      </w:r>
    </w:p>
    <w:p>
      <w:pPr>
        <w:widowControl w:val="0"/>
        <w:numPr>
          <w:numId w:val="0"/>
        </w:numPr>
        <w:shd w:val="clear" w:color="050000" w:fill="auto"/>
        <w:wordWrap/>
        <w:adjustRightInd w:val="0"/>
        <w:snapToGrid w:val="0"/>
        <w:spacing w:line="576" w:lineRule="exact"/>
        <w:ind w:firstLine="640" w:firstLineChars="200"/>
        <w:contextualSpacing/>
        <w:jc w:val="left"/>
        <w:textAlignment w:val="auto"/>
        <w:outlineLvl w:val="1"/>
        <w:rPr>
          <w:rFonts w:hint="eastAsia" w:ascii="方正黑体简体" w:hAnsi="方正黑体简体" w:eastAsia="方正黑体简体" w:cs="方正黑体简体"/>
          <w:b w:val="0"/>
          <w:bCs w:val="0"/>
          <w:color w:val="auto"/>
          <w:kern w:val="0"/>
          <w:sz w:val="32"/>
          <w:szCs w:val="32"/>
          <w:highlight w:val="none"/>
          <w:shd w:val="clear" w:color="auto" w:fill="FFFFFF"/>
          <w:lang w:val="zh-CN"/>
        </w:rPr>
      </w:pPr>
      <w:bookmarkStart w:id="20" w:name="_Toc7050"/>
      <w:r>
        <w:rPr>
          <w:rFonts w:hint="eastAsia" w:ascii="方正黑体简体" w:hAnsi="方正黑体简体" w:eastAsia="方正黑体简体" w:cs="方正黑体简体"/>
          <w:b w:val="0"/>
          <w:bCs w:val="0"/>
          <w:color w:val="auto"/>
          <w:kern w:val="0"/>
          <w:sz w:val="32"/>
          <w:szCs w:val="32"/>
          <w:highlight w:val="none"/>
          <w:shd w:val="clear" w:color="auto" w:fill="FFFFFF"/>
          <w:lang w:val="zh-CN"/>
        </w:rPr>
        <w:t>二、</w:t>
      </w:r>
      <w:r>
        <w:rPr>
          <w:rFonts w:hint="eastAsia" w:ascii="方正黑体简体" w:hAnsi="方正黑体简体" w:eastAsia="方正黑体简体" w:cs="方正黑体简体"/>
          <w:b w:val="0"/>
          <w:bCs w:val="0"/>
          <w:color w:val="auto"/>
          <w:kern w:val="0"/>
          <w:sz w:val="32"/>
          <w:szCs w:val="32"/>
          <w:highlight w:val="none"/>
          <w:shd w:val="clear" w:color="auto" w:fill="FFFFFF"/>
          <w:lang w:val="zh-CN" w:eastAsia="zh-CN"/>
        </w:rPr>
        <w:t>部门</w:t>
      </w:r>
      <w:r>
        <w:rPr>
          <w:rFonts w:hint="eastAsia" w:ascii="方正黑体简体" w:hAnsi="方正黑体简体" w:eastAsia="方正黑体简体" w:cs="方正黑体简体"/>
          <w:b w:val="0"/>
          <w:bCs w:val="0"/>
          <w:color w:val="auto"/>
          <w:kern w:val="0"/>
          <w:sz w:val="32"/>
          <w:szCs w:val="32"/>
          <w:highlight w:val="none"/>
          <w:shd w:val="clear" w:color="auto" w:fill="FFFFFF"/>
          <w:lang w:val="zh-CN"/>
        </w:rPr>
        <w:t>资金收支情况</w:t>
      </w:r>
      <w:bookmarkEnd w:id="20"/>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（一）部门总体收支情况</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2022年部门总收入9218.15万元，其中一般公共预算财政拨款收入7741.27万元，政府性基金预算财政拨款收入7.5万元，其他收入17.07万元，年初结转和结余1452.31万元。</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2022年部门总支出9218.15万元，人员经费支出2618.47万元，公用经费支出448.41万元，项目经费支出6148.28万元，年末结转和结余2.99万元。</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（二）部门财政拨款收支情况</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 2022年部门财政拨款收入9201.08万元，其中一般公共预算财政拨款收入7741.27万元，政府性基金预算财政拨款收入7.5万元，年初结转和结余1452.31万元。  </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2022年部门财政拨款支出9201.08万元，人员经费支出2618.47万元，公用经费支出448.34万元，项目经费支出6134.27万元。</w:t>
      </w:r>
    </w:p>
    <w:p>
      <w:pPr>
        <w:widowControl w:val="0"/>
        <w:numPr>
          <w:numId w:val="0"/>
        </w:numPr>
        <w:shd w:val="clear" w:color="050000" w:fill="auto"/>
        <w:wordWrap/>
        <w:adjustRightInd w:val="0"/>
        <w:snapToGrid w:val="0"/>
        <w:spacing w:line="576" w:lineRule="exact"/>
        <w:ind w:firstLine="640" w:firstLineChars="200"/>
        <w:contextualSpacing/>
        <w:jc w:val="left"/>
        <w:textAlignment w:val="auto"/>
        <w:outlineLvl w:val="1"/>
        <w:rPr>
          <w:rFonts w:hint="eastAsia" w:ascii="方正黑体简体" w:hAnsi="方正黑体简体" w:eastAsia="方正黑体简体" w:cs="方正黑体简体"/>
          <w:b w:val="0"/>
          <w:bCs w:val="0"/>
          <w:color w:val="auto"/>
          <w:kern w:val="0"/>
          <w:sz w:val="32"/>
          <w:szCs w:val="32"/>
          <w:highlight w:val="none"/>
          <w:shd w:val="clear" w:color="auto" w:fill="FFFFFF"/>
          <w:lang w:val="zh-CN" w:eastAsia="zh-CN"/>
        </w:rPr>
      </w:pPr>
      <w:bookmarkStart w:id="21" w:name="_Toc32330"/>
      <w:r>
        <w:rPr>
          <w:rFonts w:hint="eastAsia" w:ascii="方正黑体简体" w:hAnsi="方正黑体简体" w:eastAsia="方正黑体简体" w:cs="方正黑体简体"/>
          <w:b w:val="0"/>
          <w:bCs w:val="0"/>
          <w:color w:val="auto"/>
          <w:kern w:val="0"/>
          <w:sz w:val="32"/>
          <w:szCs w:val="32"/>
          <w:highlight w:val="none"/>
          <w:shd w:val="clear" w:color="auto" w:fill="FFFFFF"/>
          <w:lang w:val="zh-CN"/>
        </w:rPr>
        <w:t>三、部门整体绩效</w:t>
      </w:r>
      <w:r>
        <w:rPr>
          <w:rFonts w:hint="eastAsia" w:ascii="方正黑体简体" w:hAnsi="方正黑体简体" w:eastAsia="方正黑体简体" w:cs="方正黑体简体"/>
          <w:b w:val="0"/>
          <w:bCs w:val="0"/>
          <w:color w:val="auto"/>
          <w:kern w:val="0"/>
          <w:sz w:val="32"/>
          <w:szCs w:val="32"/>
          <w:highlight w:val="none"/>
          <w:shd w:val="clear" w:color="auto" w:fill="FFFFFF"/>
          <w:lang w:val="zh-CN" w:eastAsia="zh-CN"/>
        </w:rPr>
        <w:t>分析</w:t>
      </w:r>
      <w:bookmarkEnd w:id="21"/>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（一）部门预算项目绩效分析</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人员类项目绩效分析。严格按照市财政局预算编制口径及有关要求编制人员类绩效目标，要素完整，指标细化。人员经费支出严格执行人员编制管理制度、工资管理制度和财政关于各种津贴、补贴、奖金、福利待遇方面的规定，工资变动、人员调动等严格依据“机关事业单位工作人员工资变动审批表”。年底执行进度100%，无冒领人员经费等违规现象。</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运转类项目绩效分析。严格落实“过紧日子”十三条措施，严控“三公”经费、会议、培训等公用支出预算，严格执行市级机关差旅费管理办法，未擅自扩大开支范围、提高开支标准，年底执行进度100%。</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 特定目标类项目绩效分析。认真执行预算项目入库审核程序，定期开展预算绩效管理运行监控，严格落实预算执行和调整有关程序规定，2021、2022年度病媒生物防制项目经费的追减均按市财政批复执行。项目资金管理使用，坚持专款专用，量入为出的原则，项目资金全部用于项目支出，无截留、挤占、挪用现象。</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（二）部门整体履职绩效分析</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聚力精细管理，市容环境秩序不断提升。一是市容整治扎实有力。清理占道经营10万余处，拆除违法违规设置的广告店招700余块。持续实施缓堵保畅停车归位行动，采集违停信息14万余条，新增停车泊位1000余个、非机动车停放栏点800余处。持续实施定点祭祀，严格爆竹禁放，管控沿街生火，市容秩序持续向好。二是行政执法规范高效。严格落实行政执法“三项制度”，规范行政执法程序，审查行政执法案件80余件，组织听证会听证案件10件，公示行政处罚信息70余条，修复信用企业51家。三是城市治理协同推进。探索实施“街长制”，实行“一周一简报”，巡查整改出店经营、车辆乱停放、乱贴乱画等问题2280余处，劝导闯红灯、乱吐乱扔、乱牵乱挂等不文明行为2200余起，城市共建共治共享工作格局初步形成。</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聚力破难补短，城乡环境面貌显著改善。一是城乡人居环境持续优化。指导县区优化调整三推项目，加快推进城乡垃圾处理设施建设，全市行政村生活垃圾收运处置体系覆盖率达100%。打好铁路沿线环境整治收官战，城乡环境质量不断改善。二是生活垃圾分类纵深推进。加强分类设施建设，增设分类收集桶8170组，改造升级分类站点440余座，打造分类示范单位24个、示范小区8个。组织开展垃圾分类主题宣传32次、互动实践60余次，居民知晓率达92%，参与率达50%以上。三是爱国卫生运动广泛开展。创建省级卫生乡镇9个、卫生村40个，抓好病媒生物防制，完成市城区及旺苍县、剑阁县病媒生物防制达标考核，旺苍县省卫县城复审顺利过关。</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 聚力管理提能，城管行政效能全面增强。一是依法治理不断夯实。制定行政执法与刑事司法衔接工作制度，修订市城区机动车辆清洗、建筑垃圾管理办法，落实重大行政决策程序规定，城市管理法治基础进一步夯实。二是政务服务优质高效。深化“放管服”改革，清理、废止不符合现行法律法规的政策规定。优化获得电力、用水用气等行政审批流程，全程网办、现场办结率达到100%。办理市民热线投诉9850余件，处置网络舆情224条，办结率100%，满意率99.86%，全年未发生重大舆论事件。三是安全监管常态长效。抓好户外广告设置、共享电动自行车运营、执勤执法车辆等安全监管，累计排查整治户外广告、占道施工等安全隐患问题300余处，查处建筑施工、城镇燃气、市政设施等安全违法案件68起。</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（三）结果应用情况</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信息公开。按照市财政局统一时间、统一口径、统一格式在广元市政府和局门户网站向社会公开2022年部门预算及部门绩效信息。</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 内部应用。2022年11月，按照市财政局《关于开展2022年预算绩效运行监控的通知》要求，对预算执行进度、绩效目标实现程度进行监控，主动追减2021、2022年度病媒生物防制项目经费，将绩效管理结果与预算安排进行挂钩，根据2022年度整体支出绩效目标和项目绩效目标完成情况，及时调整2023年办公费、差旅费及其他交通费用等预算。</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（四）自评得分</w:t>
      </w:r>
    </w:p>
    <w:p>
      <w:pPr>
        <w:widowControl w:val="0"/>
        <w:shd w:val="clear" w:color="040000" w:fill="auto"/>
        <w:wordWrap/>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严格按照“市级部门整体支出绩效评价指标体系”计分标准逐项对照开展自评，自评得分95.91分。</w:t>
      </w:r>
    </w:p>
    <w:p>
      <w:pPr>
        <w:keepNext/>
        <w:keepLines/>
        <w:shd w:val="clear" w:color="020000" w:fill="auto"/>
        <w:spacing w:beforeLines="0" w:after="120" w:afterLines="0" w:line="560" w:lineRule="exact"/>
        <w:ind w:firstLine="640"/>
        <w:jc w:val="both"/>
        <w:rPr>
          <w:rFonts w:hint="eastAsia" w:ascii="仿宋_GB2312" w:hAnsi="仿宋_GB2312" w:eastAsia="仿宋_GB2312"/>
          <w:color w:val="auto"/>
          <w:kern w:val="2"/>
          <w:sz w:val="32"/>
          <w:szCs w:val="24"/>
          <w:highlight w:val="none"/>
          <w:lang w:val="zh-CN"/>
        </w:rPr>
      </w:pPr>
    </w:p>
    <w:p>
      <w:pPr>
        <w:keepNext/>
        <w:keepLines/>
        <w:shd w:val="clear" w:color="020000" w:fill="auto"/>
        <w:spacing w:beforeLines="0" w:after="120" w:afterLines="0" w:line="560" w:lineRule="exact"/>
        <w:ind w:firstLine="640"/>
        <w:jc w:val="both"/>
        <w:rPr>
          <w:rFonts w:hint="default" w:ascii="仿宋_GB2312" w:hAnsi="仿宋_GB2312" w:eastAsia="仿宋_GB2312"/>
          <w:color w:val="auto"/>
          <w:kern w:val="2"/>
          <w:sz w:val="32"/>
          <w:szCs w:val="24"/>
          <w:highlight w:val="none"/>
          <w:lang w:val="en-US" w:eastAsia="zh-CN"/>
        </w:rPr>
      </w:pPr>
      <w:r>
        <w:rPr>
          <w:rFonts w:hint="eastAsia" w:ascii="仿宋_GB2312" w:hAnsi="仿宋_GB2312" w:eastAsia="仿宋_GB2312"/>
          <w:color w:val="auto"/>
          <w:kern w:val="2"/>
          <w:sz w:val="32"/>
          <w:szCs w:val="24"/>
          <w:highlight w:val="none"/>
          <w:lang w:val="zh-CN"/>
        </w:rPr>
        <w:t>附表：</w:t>
      </w:r>
      <w:r>
        <w:rPr>
          <w:rFonts w:hint="eastAsia" w:ascii="仿宋_GB2312" w:hAnsi="仿宋_GB2312" w:eastAsia="仿宋_GB2312"/>
          <w:color w:val="auto"/>
          <w:kern w:val="2"/>
          <w:sz w:val="32"/>
          <w:szCs w:val="24"/>
          <w:highlight w:val="none"/>
          <w:lang w:val="en-US" w:eastAsia="zh-CN"/>
        </w:rPr>
        <w:t>1. 部门整体支出绩效目标自评表（2022年度）</w:t>
      </w:r>
    </w:p>
    <w:p>
      <w:pPr>
        <w:keepNext/>
        <w:keepLines/>
        <w:shd w:val="clear" w:color="020000" w:fill="auto"/>
        <w:spacing w:beforeLines="0" w:after="120" w:afterLines="0" w:line="560" w:lineRule="exact"/>
        <w:ind w:firstLine="1488" w:firstLineChars="465"/>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en-US" w:eastAsia="zh-CN"/>
        </w:rPr>
        <w:t xml:space="preserve">2. </w:t>
      </w:r>
      <w:r>
        <w:rPr>
          <w:rFonts w:hint="eastAsia" w:ascii="仿宋_GB2312" w:hAnsi="仿宋_GB2312" w:eastAsia="仿宋_GB2312"/>
          <w:color w:val="auto"/>
          <w:kern w:val="2"/>
          <w:sz w:val="32"/>
          <w:szCs w:val="24"/>
          <w:highlight w:val="none"/>
          <w:lang w:val="en-US"/>
        </w:rPr>
        <w:t>部门预算项目支出绩效自评表（2022年度）</w:t>
      </w:r>
    </w:p>
    <w:p>
      <w:pPr>
        <w:keepNext/>
        <w:keepLines/>
        <w:shd w:val="clear" w:color="020000" w:fill="auto"/>
        <w:spacing w:beforeLines="0" w:after="120" w:afterLines="0" w:line="560" w:lineRule="exact"/>
        <w:jc w:val="both"/>
        <w:rPr>
          <w:rFonts w:hint="eastAsia" w:ascii="宋体" w:hAnsi="宋体" w:eastAsia="宋体"/>
          <w:color w:val="auto"/>
          <w:kern w:val="2"/>
          <w:sz w:val="32"/>
          <w:szCs w:val="24"/>
          <w:highlight w:val="none"/>
          <w:lang w:val="zh-CN"/>
        </w:rPr>
      </w:pPr>
    </w:p>
    <w:p>
      <w:pPr>
        <w:shd w:val="clear" w:color="000000" w:fill="auto"/>
        <w:spacing w:beforeLines="0" w:afterLines="0"/>
        <w:jc w:val="both"/>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en-US" w:eastAsia="zh-CN"/>
        </w:rPr>
      </w:pPr>
      <w:r>
        <w:rPr>
          <w:rFonts w:hint="eastAsia" w:ascii="方正黑体简体" w:hAnsi="方正黑体简体" w:eastAsia="方正黑体简体" w:cs="方正黑体简体"/>
          <w:color w:val="auto"/>
          <w:sz w:val="32"/>
          <w:szCs w:val="24"/>
          <w:highlight w:val="none"/>
          <w:lang w:val="zh-CN"/>
        </w:rPr>
        <w:t>附表</w:t>
      </w:r>
      <w:r>
        <w:rPr>
          <w:rFonts w:hint="eastAsia" w:ascii="方正黑体简体" w:hAnsi="方正黑体简体" w:eastAsia="方正黑体简体" w:cs="方正黑体简体"/>
          <w:color w:val="auto"/>
          <w:sz w:val="32"/>
          <w:szCs w:val="24"/>
          <w:highlight w:val="none"/>
          <w:lang w:val="en-US" w:eastAsia="zh-CN"/>
        </w:rPr>
        <w:t>1</w:t>
      </w:r>
    </w:p>
    <w:tbl>
      <w:tblPr>
        <w:tblStyle w:val="11"/>
        <w:tblW w:w="10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472"/>
        <w:gridCol w:w="330"/>
        <w:gridCol w:w="922"/>
        <w:gridCol w:w="1496"/>
        <w:gridCol w:w="516"/>
        <w:gridCol w:w="1155"/>
        <w:gridCol w:w="1069"/>
        <w:gridCol w:w="266"/>
        <w:gridCol w:w="795"/>
        <w:gridCol w:w="975"/>
        <w:gridCol w:w="57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jc w:val="center"/>
        </w:trPr>
        <w:tc>
          <w:tcPr>
            <w:tcW w:w="10431" w:type="dxa"/>
            <w:gridSpan w:val="13"/>
            <w:tcBorders>
              <w:top w:val="nil"/>
              <w:left w:val="nil"/>
              <w:bottom w:val="single" w:color="auto" w:sz="4" w:space="0"/>
              <w:right w:val="nil"/>
            </w:tcBorders>
            <w:vAlign w:val="center"/>
          </w:tcPr>
          <w:p>
            <w:pPr>
              <w:widowControl/>
              <w:wordWrap/>
              <w:autoSpaceDE w:val="0"/>
              <w:autoSpaceDN w:val="0"/>
              <w:adjustRightInd w:val="0"/>
              <w:snapToGrid/>
              <w:spacing w:beforeLines="0" w:afterLines="0" w:line="60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jc w:val="center"/>
        </w:trPr>
        <w:tc>
          <w:tcPr>
            <w:tcW w:w="1452" w:type="dxa"/>
            <w:gridSpan w:val="3"/>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部门名称</w:t>
            </w:r>
          </w:p>
        </w:tc>
        <w:tc>
          <w:tcPr>
            <w:tcW w:w="8979" w:type="dxa"/>
            <w:gridSpan w:val="10"/>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年度</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主要</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任务</w:t>
            </w:r>
          </w:p>
        </w:tc>
        <w:tc>
          <w:tcPr>
            <w:tcW w:w="80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任务名称</w:t>
            </w:r>
          </w:p>
        </w:tc>
        <w:tc>
          <w:tcPr>
            <w:tcW w:w="922" w:type="dxa"/>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主要内容</w:t>
            </w:r>
          </w:p>
        </w:tc>
        <w:tc>
          <w:tcPr>
            <w:tcW w:w="4236" w:type="dxa"/>
            <w:gridSpan w:val="4"/>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预算金额（万元）</w:t>
            </w:r>
          </w:p>
        </w:tc>
        <w:tc>
          <w:tcPr>
            <w:tcW w:w="3821" w:type="dxa"/>
            <w:gridSpan w:val="5"/>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8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92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总额</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财政拨款</w:t>
            </w:r>
          </w:p>
        </w:tc>
        <w:tc>
          <w:tcPr>
            <w:tcW w:w="1069"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其他资金</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总额</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财政拨款</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80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人员经费</w:t>
            </w:r>
          </w:p>
        </w:tc>
        <w:tc>
          <w:tcPr>
            <w:tcW w:w="922"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保工资</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2618.47</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2618.47</w:t>
            </w:r>
          </w:p>
        </w:tc>
        <w:tc>
          <w:tcPr>
            <w:tcW w:w="1069"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宋体" w:hAnsi="宋体" w:eastAsia="宋体" w:cs="宋体"/>
                <w:i w:val="0"/>
                <w:iCs w:val="0"/>
                <w:color w:val="000000"/>
                <w:sz w:val="18"/>
                <w:szCs w:val="18"/>
                <w:u w:val="none"/>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2618.47</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2618.47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80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公用经费</w:t>
            </w:r>
          </w:p>
        </w:tc>
        <w:tc>
          <w:tcPr>
            <w:tcW w:w="922"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保运转</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448.41</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448.34</w:t>
            </w:r>
          </w:p>
        </w:tc>
        <w:tc>
          <w:tcPr>
            <w:tcW w:w="1069"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0.07</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448.41</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448.34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9"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80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部门项目</w:t>
            </w:r>
          </w:p>
        </w:tc>
        <w:tc>
          <w:tcPr>
            <w:tcW w:w="922"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保证城市管理工作的开展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6151.27</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6134.27</w:t>
            </w:r>
          </w:p>
        </w:tc>
        <w:tc>
          <w:tcPr>
            <w:tcW w:w="1069"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17</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6148.28</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sz w:val="18"/>
                <w:szCs w:val="18"/>
                <w:lang w:val="en-US" w:eastAsia="zh-CN"/>
              </w:rPr>
              <w:t>6134.27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年度</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总体</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目标</w:t>
            </w:r>
          </w:p>
        </w:tc>
        <w:tc>
          <w:tcPr>
            <w:tcW w:w="3220" w:type="dxa"/>
            <w:gridSpan w:val="4"/>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预期目标</w:t>
            </w:r>
          </w:p>
        </w:tc>
        <w:tc>
          <w:tcPr>
            <w:tcW w:w="6561" w:type="dxa"/>
            <w:gridSpan w:val="8"/>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8"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3220" w:type="dxa"/>
            <w:gridSpan w:val="4"/>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1.稳定协管员待遇，建设一支稳定、高效的城管协管员队伍。                          2.持续强化城市精细化管理，结合海绵城市建设，助力全国文明城市创建，促进城市管理工作共建共治共享。                                 3.结合乡村振兴战略，探索农村生活垃圾治理经费多元投入机制。                          4.按照生活垃圾减量化、资源化、无害化要求，推动生活垃圾分类工作。                    5.坚持把除“四害”作为爱国卫生工作重要内容，结合爱国卫生活动月，广泛发动群众，大力开展环境卫生综合治理。</w:t>
            </w:r>
          </w:p>
        </w:tc>
        <w:tc>
          <w:tcPr>
            <w:tcW w:w="6561" w:type="dxa"/>
            <w:gridSpan w:val="8"/>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1.聚力政治建设，理想信念不断夯实。局党委班子坚持常态化开展政治理论学习，深入学习贯彻习近平新时代中国特色社会主义思想、习近平</w:t>
            </w:r>
            <w:bookmarkStart w:id="42" w:name="_GoBack"/>
            <w:bookmarkEnd w:id="42"/>
            <w:r>
              <w:rPr>
                <w:rFonts w:hint="eastAsia" w:ascii="方正书宋简体" w:hAnsi="方正书宋简体" w:eastAsia="方正书宋简体" w:cs="方正书宋简体"/>
                <w:i w:val="0"/>
                <w:iCs w:val="0"/>
                <w:color w:val="000000"/>
                <w:kern w:val="0"/>
                <w:sz w:val="21"/>
                <w:szCs w:val="21"/>
                <w:u w:val="none"/>
                <w:lang w:val="en-US" w:eastAsia="zh-CN"/>
              </w:rPr>
              <w:t>总书记系列重要讲话和批示指示精神。                                                         2.聚焦文明城市创建，大力实施“街长制”，深入开展市容环境规范整治，制定街道分类分级管理办法，城市空间、立面不断净化，城市共建共治共享开创新局。                                                                 3.聚力破难补短，城乡面貌显著改善。积极向上争取到位城乡垃圾处理设施建设专项资金，加快推进“三推”项目，补齐设施短板，全市行政村生活垃圾收运处置体系覆盖率达100%。爱国卫生事业跃上新台阶，城乡环境展现新面貌。                                                                       4.聚力管理提能，行政效能全面增强。制定行政执法与刑事司法衔接工作制度，修订市城区建筑垃圾管理办法，落实重大行政决策程序规定，城市管理法治基础进一步夯实。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93" w:hRule="atLeast"/>
          <w:jc w:val="center"/>
        </w:trPr>
        <w:tc>
          <w:tcPr>
            <w:tcW w:w="650" w:type="dxa"/>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年</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度</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绩</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效</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指</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标</w:t>
            </w:r>
          </w:p>
        </w:tc>
        <w:tc>
          <w:tcPr>
            <w:tcW w:w="472"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一级指标</w:t>
            </w:r>
          </w:p>
        </w:tc>
        <w:tc>
          <w:tcPr>
            <w:tcW w:w="125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二级指标</w:t>
            </w: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三级指标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指标值（包含数字及文字描述）</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实际完成指标值（包含数字及文字描述）</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部门自评得分</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财政部门科室复评得分</w:t>
            </w: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产出指标</w:t>
            </w:r>
          </w:p>
        </w:tc>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数量指标</w:t>
            </w: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饲养员</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≤2名</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default" w:ascii="方正书宋简体" w:hAnsi="方正书宋简体" w:eastAsia="方正书宋简体" w:cs="方正书宋简体"/>
                <w:i w:val="0"/>
                <w:iCs w:val="0"/>
                <w:color w:val="000000"/>
                <w:sz w:val="21"/>
                <w:szCs w:val="21"/>
                <w:u w:val="none"/>
                <w:lang w:val="en-US"/>
              </w:rPr>
            </w:pPr>
            <w:r>
              <w:rPr>
                <w:rFonts w:hint="eastAsia" w:ascii="方正书宋简体" w:hAnsi="方正书宋简体" w:eastAsia="方正书宋简体" w:cs="方正书宋简体"/>
                <w:i w:val="0"/>
                <w:iCs w:val="0"/>
                <w:color w:val="000000"/>
                <w:kern w:val="0"/>
                <w:sz w:val="21"/>
                <w:szCs w:val="21"/>
                <w:u w:val="none"/>
                <w:lang w:val="en-US" w:eastAsia="zh-CN"/>
              </w:rPr>
              <w:t>2.6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狗粮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≤0.5斤/只/天</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0.5斤/只/天</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城管通数量</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20部</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20部</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“八小”行业毒饵法投放次数</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集中投药1次</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集中投药1次</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喷洒法投放次数</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5月、6月每月不少于2次消杀；7月、8月每月不少于1次消杀</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5月、6月均完成2次消杀；7月、8月各1次消杀</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火车站公益广告及标识条数</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≧40条</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50条</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火车站站前反恐防暴演练次数</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≧1次/周</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1次/周</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乡村振兴驻村人员</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5人</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5人</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火车站站前广场氛围造型</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≧1座</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2座</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慰问人数</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271人</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271人</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乡镇工作补贴周期</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等于12个月</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12个月</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default" w:ascii="方正书宋简体" w:hAnsi="方正书宋简体" w:eastAsia="方正书宋简体" w:cs="方正书宋简体"/>
                <w:i w:val="0"/>
                <w:iCs w:val="0"/>
                <w:color w:val="000000"/>
                <w:sz w:val="21"/>
                <w:szCs w:val="21"/>
                <w:u w:val="none"/>
                <w:lang w:val="en-US"/>
              </w:rPr>
            </w:pPr>
            <w:r>
              <w:rPr>
                <w:rFonts w:hint="eastAsia" w:ascii="方正书宋简体" w:hAnsi="方正书宋简体" w:eastAsia="方正书宋简体" w:cs="方正书宋简体"/>
                <w:i w:val="0"/>
                <w:iCs w:val="0"/>
                <w:color w:val="000000"/>
                <w:kern w:val="0"/>
                <w:sz w:val="21"/>
                <w:szCs w:val="21"/>
                <w:u w:val="none"/>
                <w:lang w:val="en-US" w:eastAsia="zh-CN"/>
              </w:rPr>
              <w:t>2.6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质量指标</w:t>
            </w: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执法工作运转效率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高、中、低</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运转效率高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犬只收养中心运转效率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高、中、低</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运转效率高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火车站站前广场运转效率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高、中、低</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default" w:ascii="方正书宋简体" w:hAnsi="方正书宋简体" w:eastAsia="方正书宋简体" w:cs="方正书宋简体"/>
                <w:i w:val="0"/>
                <w:iCs w:val="0"/>
                <w:color w:val="000000"/>
                <w:sz w:val="21"/>
                <w:szCs w:val="21"/>
                <w:u w:val="none"/>
                <w:lang w:val="en-US"/>
              </w:rPr>
            </w:pPr>
            <w:r>
              <w:rPr>
                <w:rFonts w:hint="eastAsia" w:ascii="方正书宋简体" w:hAnsi="方正书宋简体" w:eastAsia="方正书宋简体" w:cs="方正书宋简体"/>
                <w:i w:val="0"/>
                <w:iCs w:val="0"/>
                <w:color w:val="000000"/>
                <w:kern w:val="0"/>
                <w:sz w:val="21"/>
                <w:szCs w:val="21"/>
                <w:u w:val="none"/>
                <w:lang w:val="en-US" w:eastAsia="zh-CN"/>
              </w:rPr>
              <w:t>2.6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办公家具质量</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合格、不合格</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合格</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火车站站前广场氛围造型材料质量</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合格、不合格</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合格</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“四害”密度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控制、不控制</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得到控制</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祭祀棚材料</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合格、不合格</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合格</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协管员工资发放率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≤100%</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100%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防疫物资质量</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合格、不合格</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合格</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驻村补贴发放率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等于100%</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100%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驻村人员生活质量保障</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等于100%</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100%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印刷质量</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合格、不合格</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印刷质量合格</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时效指标</w:t>
            </w: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营造氛围时间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元旦、春节</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元旦、春节</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慰问时间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春节</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春节</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祭祀棚搭设时间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春节、清明及中元节</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春节、清明及中元节</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投放完成时效</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2022年5月至12月已设置的灭鼠毒饵站补投药物并规范位置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2022年5月至12月已设置的灭鼠毒饵站补投药物并规范位置</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成本指标</w:t>
            </w:r>
          </w:p>
        </w:tc>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成本指标</w:t>
            </w: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协管员工包干经费</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≤1100万元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1065.74万元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由于协管员流动性大，项目经费年初按照220人预算。今后将加大协管员管理，严格进出渠道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1"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拆除费；清理“牛皮癣”专用材料费；执法车辆运行费；重大活动保障费</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≤42.39万元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42.39万元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1"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基础设施设备维修维护费；犬只食物费用；犬只档案管理费；水电费；水电费</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≤4万元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4万元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城管通费用；中心机房内服务器、交换器等硬件设备及办公运行电费；数字化城管信息系统维保费</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≤10万元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10万元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火车站站前广场出入站口电梯维修费用；火车站宣传及标识标牌制作、更换费用；疫情防控及应急工作费用；出站口电梯运维费</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≤10万元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10万元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往返差旅费；生活补助；乡镇工作补贴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≤9.1</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9.1</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文件柜；办公椅；三人沙发</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≤4.8万元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3.37万元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根据节约原则，以采购价为准。今后科学预测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分类服务费</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4763.06万元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4763.06万元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营造经费</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12万元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12万元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毒饵法药物、人工及器械成本；喷洒法药物、人工及器械成本（2021年）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≤28.6万元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28.6万元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default" w:ascii="方正书宋简体" w:hAnsi="方正书宋简体" w:eastAsia="方正书宋简体" w:cs="方正书宋简体"/>
                <w:i w:val="0"/>
                <w:iCs w:val="0"/>
                <w:color w:val="000000"/>
                <w:sz w:val="21"/>
                <w:szCs w:val="21"/>
                <w:u w:val="none"/>
                <w:lang w:val="en-US"/>
              </w:rPr>
            </w:pPr>
            <w:r>
              <w:rPr>
                <w:rFonts w:hint="eastAsia" w:ascii="方正书宋简体" w:hAnsi="方正书宋简体" w:eastAsia="方正书宋简体" w:cs="方正书宋简体"/>
                <w:i w:val="0"/>
                <w:iCs w:val="0"/>
                <w:color w:val="000000"/>
                <w:kern w:val="0"/>
                <w:sz w:val="21"/>
                <w:szCs w:val="21"/>
                <w:u w:val="none"/>
                <w:lang w:val="en-US" w:eastAsia="zh-CN"/>
              </w:rPr>
              <w:t>2.8</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根据2022年绩效运行监控，已调整预算数为28.6万元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搭设棚材料及宣传材料</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≤24.48万元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24.48万元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创文期间拆除遮阳棚、机械使用费及拆除户外广告劳务费</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≤37.4万元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37.4万元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慰问成本</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≤8.13万元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8.13万元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1.4</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毒饵法药物、人工及器械成本；喷洒法药物、人工及器械成本（2022年）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≤56万元</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56万元</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1.5</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根据2022年绩效运行监控，已调整预算数为56万元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效益指标</w:t>
            </w:r>
          </w:p>
        </w:tc>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社会效益</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指标</w:t>
            </w: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协管员工资待遇水平</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城市市容市貌改善率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0.5</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不文明养犬等行为发生率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降低、升高</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社会公共秩序维护率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城市文明形象</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降低、升高</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提高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0.5</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市级城市管理案件的处置效率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我市数字化城市管理水平</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0.5</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火车站周边客运秩序率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农民生活水平</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垃圾分类氛围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热烈、欢庆的节日气氛</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减少细菌传播，利于人民健康</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办公效率的提高</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社会就业率的提高</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人文关怀展现率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火灾事故发生率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降低、升高</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生态效益</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指标</w:t>
            </w: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环境污染的影响</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降低、升高</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生态保护率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“四害”孳生地</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降低、升高</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工地扬尘对环境的影响</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降低、升高</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可持续影响</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指标</w:t>
            </w: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城市管理精细化水平</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建立健全流浪犬只管理常态工作机制</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执法人力成本</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降低、升高</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降低</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“平安广元”建设推动率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办公环境</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实行生活垃圾分类，持续推进绿色低碳发展</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乡村振兴战略推动率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文化传统迎合率统，中央精神契合率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文化自信提高率，符合人民群众对美好生活的期盼</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环境可持续发展率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队员工作积极性</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稳定协管员队伍</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0.5</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环境治理率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文明祭祀率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优良中差</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优</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满意度</w:t>
            </w:r>
            <w:r>
              <w:rPr>
                <w:rFonts w:hint="eastAsia" w:ascii="方正书宋简体" w:hAnsi="方正书宋简体" w:eastAsia="方正书宋简体" w:cs="方正书宋简体"/>
                <w:i w:val="0"/>
                <w:iCs w:val="0"/>
                <w:color w:val="000000"/>
                <w:kern w:val="0"/>
                <w:sz w:val="21"/>
                <w:szCs w:val="21"/>
                <w:u w:val="none"/>
                <w:lang w:val="en-US" w:eastAsia="zh-CN"/>
              </w:rPr>
              <w:br/>
            </w:r>
            <w:r>
              <w:rPr>
                <w:rFonts w:hint="eastAsia" w:ascii="方正书宋简体" w:hAnsi="方正书宋简体" w:eastAsia="方正书宋简体" w:cs="方正书宋简体"/>
                <w:i w:val="0"/>
                <w:iCs w:val="0"/>
                <w:color w:val="000000"/>
                <w:kern w:val="0"/>
                <w:sz w:val="21"/>
                <w:szCs w:val="21"/>
                <w:u w:val="none"/>
                <w:lang w:val="en-US" w:eastAsia="zh-CN"/>
              </w:rPr>
              <w:t>指标</w:t>
            </w:r>
          </w:p>
        </w:tc>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满意度指标</w:t>
            </w: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协管员对待遇的满意度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0.8</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群众对城管案件查处满意度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群众对市容市貌环境整治满意度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群众对流浪犬只收养工作的满意度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群众对城管数字化管理系统工作的满意度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进出口旅客对火车站站前广场市容市貌的满意度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驻村人员对补贴待遇满意度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全局干部职工对办公环境满意度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一线队员对慰问工作满意度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市民对生活垃圾分类的满意度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旅客对站前广场氛围营造满意度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6"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群众对除四害效果满意度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0.8</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群众对定点祭祀棚搭设的满意度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全局干部职工对印刷材料、纸张满意度</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满意、不满意</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满意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0.7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2"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部门（单位）自评结论</w:t>
            </w:r>
          </w:p>
        </w:tc>
        <w:tc>
          <w:tcPr>
            <w:tcW w:w="9781" w:type="dxa"/>
            <w:gridSpan w:val="1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通过围绕创建全国文明城市，抓好“街长制”实施，加快垃圾分类监管信息平台建设，补齐分类收运设施设备短板，开展动态积分制管理试点，深化城乡环境综合治理，广泛开展爱国卫生运动，倡导文明健康、绿色环保的生活方式。深化“放管服”改革，进一步优化行政审批流程，优化营商环境等措施，促进城市空间不断净化，开创城市共建共治共享新局面。各项绩效目标较好完成，自评得分97.7分（其中执行得分8分，绩效目标完成得分89.7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8"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部门（单位）自评存在问题</w:t>
            </w:r>
          </w:p>
        </w:tc>
        <w:tc>
          <w:tcPr>
            <w:tcW w:w="9781" w:type="dxa"/>
            <w:gridSpan w:val="1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协管员经费年初按照220人下达项目预算，因其流动性大，年终未执行完毕。2.制服采购、局办公楼维修为跨年项目，2022未支付完毕，有结转。3.其他资金-代管资金年报编制60万，因其不确定性，实际支付7.4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8"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部门（单位）自评改进措施</w:t>
            </w:r>
          </w:p>
        </w:tc>
        <w:tc>
          <w:tcPr>
            <w:tcW w:w="9781" w:type="dxa"/>
            <w:gridSpan w:val="1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1.合理编制绩效目标，结合单位职能、年度工作重点。2.加强对绩效管理的业务培训，提高预算绩效水平。3.结合结合上一年度预算执行情况以及实际支出情况，来制定2023年度预算收支部门具体绩效，避免后续出现相关问题导致预算执行受阻。4.严格协管员进出渠道，加大对协管的管理。5.采购项目以节约为主，科学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7"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财政部门对口科室复评结论及整改要求</w:t>
            </w:r>
          </w:p>
        </w:tc>
        <w:tc>
          <w:tcPr>
            <w:tcW w:w="9781" w:type="dxa"/>
            <w:gridSpan w:val="12"/>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4386" w:type="dxa"/>
            <w:gridSpan w:val="6"/>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单位项目负责人：王金川</w:t>
            </w:r>
          </w:p>
        </w:tc>
        <w:tc>
          <w:tcPr>
            <w:tcW w:w="6045" w:type="dxa"/>
            <w:gridSpan w:val="7"/>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4386" w:type="dxa"/>
            <w:gridSpan w:val="6"/>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部门项目负责人：王金川</w:t>
            </w:r>
          </w:p>
        </w:tc>
        <w:tc>
          <w:tcPr>
            <w:tcW w:w="6045" w:type="dxa"/>
            <w:gridSpan w:val="7"/>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10431" w:type="dxa"/>
            <w:gridSpan w:val="13"/>
            <w:tcBorders>
              <w:top w:val="single" w:color="auto" w:sz="4" w:space="0"/>
              <w:left w:val="single" w:color="auto" w:sz="4" w:space="0"/>
              <w:bottom w:val="single" w:color="auto" w:sz="4" w:space="0"/>
              <w:right w:val="single" w:color="auto" w:sz="4" w:space="0"/>
            </w:tcBorders>
            <w:vAlign w:val="center"/>
          </w:tcPr>
          <w:p>
            <w:pPr>
              <w:widowControl/>
              <w:wordWrap/>
              <w:snapToGrid/>
              <w:spacing w:beforeLines="0" w:afterLines="0" w:line="240" w:lineRule="exact"/>
              <w:jc w:val="left"/>
              <w:textAlignment w:val="center"/>
              <w:rPr>
                <w:rFonts w:hint="default" w:ascii="方正书宋简体" w:hAnsi="方正书宋简体" w:eastAsia="方正书宋简体" w:cs="方正书宋简体"/>
                <w:i w:val="0"/>
                <w:iCs w:val="0"/>
                <w:color w:val="000000"/>
                <w:sz w:val="21"/>
                <w:szCs w:val="21"/>
                <w:u w:val="none"/>
                <w:lang w:val="en-US"/>
              </w:rPr>
            </w:pPr>
            <w:r>
              <w:rPr>
                <w:rFonts w:hint="eastAsia" w:ascii="方正书宋简体" w:hAnsi="方正书宋简体" w:eastAsia="方正书宋简体" w:cs="方正书宋简体"/>
                <w:i w:val="0"/>
                <w:iCs w:val="0"/>
                <w:color w:val="000000"/>
                <w:kern w:val="0"/>
                <w:sz w:val="21"/>
                <w:szCs w:val="21"/>
                <w:u w:val="none"/>
                <w:lang w:val="en-US" w:eastAsia="zh-CN"/>
              </w:rPr>
              <w:t>财政部门科室负责人：赵策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6" w:hRule="atLeast"/>
          <w:jc w:val="center"/>
        </w:trPr>
        <w:tc>
          <w:tcPr>
            <w:tcW w:w="10431" w:type="dxa"/>
            <w:gridSpan w:val="13"/>
            <w:tcBorders>
              <w:top w:val="single" w:color="auto" w:sz="4" w:space="0"/>
              <w:left w:val="nil"/>
              <w:bottom w:val="nil"/>
              <w:right w:val="nil"/>
            </w:tcBorders>
            <w:vAlign w:val="center"/>
          </w:tcPr>
          <w:p>
            <w:pPr>
              <w:widowControl/>
              <w:wordWrap/>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rPr>
              <w:t>注：部门整体支出绩效目标自评表在年度预算执行完毕后填报。</w:t>
            </w:r>
          </w:p>
        </w:tc>
      </w:tr>
    </w:tbl>
    <w:p>
      <w:pPr>
        <w:shd w:val="clear" w:color="000000" w:fill="auto"/>
        <w:spacing w:beforeLines="0" w:afterLines="0"/>
        <w:jc w:val="both"/>
        <w:rPr>
          <w:rFonts w:hint="eastAsia" w:ascii="仿宋_GB2312" w:hAnsi="仿宋_GB2312" w:eastAsia="仿宋_GB2312"/>
          <w:color w:val="auto"/>
          <w:sz w:val="32"/>
          <w:szCs w:val="24"/>
          <w:highlight w:val="none"/>
          <w:lang w:val="zh-CN"/>
        </w:rPr>
      </w:pPr>
    </w:p>
    <w:p>
      <w:pPr>
        <w:shd w:val="clear" w:color="000000" w:fill="auto"/>
        <w:spacing w:beforeLines="0" w:afterLines="0"/>
        <w:jc w:val="both"/>
        <w:rPr>
          <w:rFonts w:hint="eastAsia" w:ascii="仿宋_GB2312" w:hAnsi="仿宋_GB2312" w:eastAsia="仿宋_GB2312"/>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en-US" w:eastAsia="zh-CN"/>
        </w:rPr>
      </w:pPr>
      <w:r>
        <w:rPr>
          <w:rFonts w:hint="eastAsia" w:ascii="方正黑体简体" w:hAnsi="方正黑体简体" w:eastAsia="方正黑体简体" w:cs="方正黑体简体"/>
          <w:color w:val="auto"/>
          <w:sz w:val="32"/>
          <w:szCs w:val="24"/>
          <w:highlight w:val="none"/>
          <w:lang w:val="zh-CN"/>
        </w:rPr>
        <w:t>附表</w:t>
      </w:r>
      <w:r>
        <w:rPr>
          <w:rFonts w:hint="eastAsia" w:ascii="方正黑体简体" w:hAnsi="方正黑体简体" w:eastAsia="方正黑体简体" w:cs="方正黑体简体"/>
          <w:color w:val="auto"/>
          <w:sz w:val="32"/>
          <w:szCs w:val="24"/>
          <w:highlight w:val="none"/>
          <w:lang w:val="en-US" w:eastAsia="zh-CN"/>
        </w:rPr>
        <w:t>2</w:t>
      </w:r>
    </w:p>
    <w:tbl>
      <w:tblPr>
        <w:tblStyle w:val="11"/>
        <w:tblW w:w="10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1"/>
        <w:gridCol w:w="626"/>
        <w:gridCol w:w="854"/>
        <w:gridCol w:w="1056"/>
        <w:gridCol w:w="1094"/>
        <w:gridCol w:w="517"/>
        <w:gridCol w:w="702"/>
        <w:gridCol w:w="521"/>
        <w:gridCol w:w="1086"/>
        <w:gridCol w:w="612"/>
        <w:gridCol w:w="752"/>
        <w:gridCol w:w="895"/>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650" w:type="dxa"/>
            <w:gridSpan w:val="13"/>
            <w:tcBorders>
              <w:top w:val="nil"/>
              <w:left w:val="nil"/>
              <w:bottom w:val="nil"/>
              <w:right w:val="nil"/>
            </w:tcBorders>
            <w:vAlign w:val="center"/>
          </w:tcPr>
          <w:p>
            <w:pPr>
              <w:widowControl/>
              <w:shd w:val="clear" w:color="040000" w:fill="auto"/>
              <w:jc w:val="center"/>
              <w:textAlignment w:val="center"/>
              <w:rPr>
                <w:rFonts w:ascii="方正小标宋简体" w:hAnsi="方正小标宋简体" w:eastAsia="方正小标宋简体" w:cs="方正小标宋简体"/>
                <w:b w:val="0"/>
                <w:bCs w:val="0"/>
                <w:i w:val="0"/>
                <w:iCs w:val="0"/>
                <w:color w:val="auto"/>
                <w:sz w:val="36"/>
                <w:szCs w:val="36"/>
                <w:highlight w:val="none"/>
                <w:u w:val="none"/>
              </w:rPr>
            </w:pPr>
            <w:r>
              <w:rPr>
                <w:rFonts w:hint="eastAsia" w:ascii="方正小标宋简体" w:hAnsi="方正小标宋简体" w:eastAsia="方正小标宋简体" w:cs="方正小标宋简体"/>
                <w:b w:val="0"/>
                <w:bCs w:val="0"/>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650"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项目名称：城管协管员经费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24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389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193"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0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148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389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27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方正书宋简体" w:hAnsi="方正书宋简体" w:eastAsia="方正书宋简体" w:cs="方正书宋简体"/>
                <w:b w:val="0"/>
                <w:bCs w:val="0"/>
                <w:i w:val="0"/>
                <w:iCs w:val="0"/>
                <w:color w:val="auto"/>
                <w:sz w:val="21"/>
                <w:szCs w:val="21"/>
                <w:highlight w:val="none"/>
                <w:u w:val="none"/>
              </w:rPr>
            </w:pPr>
          </w:p>
        </w:tc>
        <w:tc>
          <w:tcPr>
            <w:tcW w:w="389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确保协管员工资待遇正常发放，保障城管执法工作顺利开展。</w:t>
            </w:r>
          </w:p>
        </w:tc>
        <w:tc>
          <w:tcPr>
            <w:tcW w:w="427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2022年度，通过该项目，协管员工资、保险及福利按时发放，保证协管员工资待遇水平，协助执法工作顺利开展。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8169"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在项目实施过程中，制订协管员管理办法、绩效考核方案并编制项目预算，涉及局机关及下属大队，在实施过程中全体干部职工积极配合，通力协作，重大事项纳入“三重一大”范围，提交党组会审定。严格按照项目管理有关规定对项目经费进行管理，在支付经费前对项目实施效果进行评估，重要环节进行专题研究，经费管理主动接受纪委、审计部门监督检查，对预算执行实行动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100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1,100.00</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1,100.00</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1,065.74</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96.89%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1,100.00</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1,100.00</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1,065.74</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96.89%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00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5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70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协管员工资发放率</w:t>
            </w:r>
          </w:p>
        </w:tc>
        <w:tc>
          <w:tcPr>
            <w:tcW w:w="5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0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协管员工包干经费</w:t>
            </w:r>
          </w:p>
        </w:tc>
        <w:tc>
          <w:tcPr>
            <w:tcW w:w="5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0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1100</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1065.74万元</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由于协管员流动性大，项目经费年初按照220人预算。今后严格进出渠道，加大管理。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经济效益指标</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协管员工资待遇水平</w:t>
            </w:r>
          </w:p>
        </w:tc>
        <w:tc>
          <w:tcPr>
            <w:tcW w:w="5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0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15</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15</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提高社会就业率</w:t>
            </w:r>
          </w:p>
        </w:tc>
        <w:tc>
          <w:tcPr>
            <w:tcW w:w="5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0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保证薪资待遇，稳定协管员队伍</w:t>
            </w:r>
          </w:p>
        </w:tc>
        <w:tc>
          <w:tcPr>
            <w:tcW w:w="5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0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48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协管员对待遇的满意度</w:t>
            </w:r>
          </w:p>
        </w:tc>
        <w:tc>
          <w:tcPr>
            <w:tcW w:w="5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0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457"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100</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98</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方正书宋简体" w:hAnsi="方正书宋简体" w:eastAsia="方正书宋简体" w:cs="方正书宋简体"/>
                <w:b w:val="0"/>
                <w:bCs w:val="0"/>
                <w:i w:val="0"/>
                <w:iCs w:val="0"/>
                <w:color w:val="auto"/>
                <w:sz w:val="21"/>
                <w:szCs w:val="21"/>
                <w:highlight w:val="none"/>
                <w:u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jc w:val="center"/>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023"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整个项目目标任务全面完成、资金管理规范，项目的实施，有力保证协管员工作待遇及福利，利于稳定城管队伍和提高积极性，进一步保证协管员协助城管执法工作的开展。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jc w:val="center"/>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023"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由于协管员流动性大，该项目经费年初按照核定编制的220人预算，因此年终执行数与预算数有差距，在今后工作中，将严格进出渠道，加大对协管员的管理。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023"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根据《城市管理协管员管理办法》（广城〔2020〕12号）及《协管员月度绩效考核办法（试行）（广城发〔2022〕15号）文件，将严格协管员进出渠道和绩效考核，加强日常管理，稳定协管员队伍。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jc w:val="center"/>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023"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148"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单位项目负责人：王凌云</w:t>
            </w:r>
          </w:p>
        </w:tc>
        <w:tc>
          <w:tcPr>
            <w:tcW w:w="5502"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148"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5502"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0650"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shd w:val="clear" w:color="000000" w:fill="auto"/>
        <w:spacing w:beforeLines="0" w:afterLines="0"/>
        <w:jc w:val="both"/>
        <w:rPr>
          <w:rFonts w:hint="eastAsia" w:ascii="仿宋_GB2312" w:hAnsi="仿宋_GB2312" w:eastAsia="仿宋_GB2312"/>
          <w:color w:val="auto"/>
          <w:sz w:val="32"/>
          <w:szCs w:val="24"/>
          <w:highlight w:val="none"/>
          <w:lang w:val="zh-CN"/>
        </w:rPr>
        <w:sectPr>
          <w:pgSz w:w="12240" w:h="15840"/>
          <w:pgMar w:top="1440" w:right="1800" w:bottom="1440" w:left="1800" w:header="720" w:footer="720" w:gutter="0"/>
          <w:lnNumType w:countBy="0" w:distance="360"/>
          <w:pgNumType w:fmt="decimal"/>
          <w:cols w:space="720" w:num="1"/>
          <w:docGrid w:type="lines" w:linePitch="312" w:charSpace="0"/>
        </w:sectPr>
      </w:pPr>
    </w:p>
    <w:p>
      <w:pPr>
        <w:pStyle w:val="6"/>
        <w:shd w:val="clear" w:color="010000" w:fill="auto"/>
        <w:ind w:left="0" w:leftChars="0" w:right="0" w:firstLine="0" w:firstLineChars="0"/>
        <w:jc w:val="center"/>
        <w:rPr>
          <w:rFonts w:hint="eastAsia"/>
          <w:color w:val="auto"/>
          <w:highlight w:val="none"/>
          <w:lang w:val="zh-CN"/>
        </w:rPr>
      </w:pPr>
    </w:p>
    <w:tbl>
      <w:tblPr>
        <w:tblStyle w:val="11"/>
        <w:tblW w:w="10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9"/>
        <w:gridCol w:w="908"/>
        <w:gridCol w:w="223"/>
        <w:gridCol w:w="777"/>
        <w:gridCol w:w="1158"/>
        <w:gridCol w:w="719"/>
        <w:gridCol w:w="863"/>
        <w:gridCol w:w="900"/>
        <w:gridCol w:w="975"/>
        <w:gridCol w:w="825"/>
        <w:gridCol w:w="825"/>
        <w:gridCol w:w="900"/>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439"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439"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项目名称：城管执法经费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7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41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33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113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41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31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441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推进精细化城管执法工作，提升市容市貌及环境卫生管理水平。</w:t>
            </w:r>
          </w:p>
        </w:tc>
        <w:tc>
          <w:tcPr>
            <w:tcW w:w="431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以市容秩序管控，街长制实施，建设领域执法为重点，结合全国文明城市创建实施，深入推进市容环境规范整治。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8729"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按照年初工作计划，持续推进市城区工地扬尘、餐饮油烟、噪音污染等综合治理，进一步加强车辆停放管理，强化信访投诉案件办理，严管占道跨门经营等城市乱象，城市市容市貌明显改善。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48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42.39</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82.39</w:t>
            </w:r>
          </w:p>
        </w:tc>
        <w:tc>
          <w:tcPr>
            <w:tcW w:w="248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82.39</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42.39</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82.39</w:t>
            </w:r>
          </w:p>
        </w:tc>
        <w:tc>
          <w:tcPr>
            <w:tcW w:w="248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82.39</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48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48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48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执法工作运转效率</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高、中、低</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高</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车辆保险</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等于</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次/年</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1次/年</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拆除费；清理“牛皮癣”专用材料费；执法车辆运行费；重大活动保障费</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82.39</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82.39万元</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经济效益指标</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保民生、提效益、促和谐水平</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城市市容市貌进一步改善</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生态效益指标</w:t>
            </w:r>
          </w:p>
        </w:tc>
        <w:tc>
          <w:tcPr>
            <w:tcW w:w="1158" w:type="dxa"/>
            <w:tcBorders>
              <w:top w:val="nil"/>
              <w:left w:val="nil"/>
              <w:bottom w:val="nil"/>
              <w:right w:val="nil"/>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打好蓝天保卫战，减少工地扬尘对环境的影响</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城市管理精细化水平</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群众对城管案件查处满意度</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群众对市容市貌环境整治满意度</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102"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98</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jc w:val="center"/>
        </w:trPr>
        <w:tc>
          <w:tcPr>
            <w:tcW w:w="14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895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指标全面完成，项目社会效益、可持续发展效益明显，主要集中在：一是结合全国文明城市创建和“街长制”实施，深入推进市容环境规范整治。二是在利州西路、兴安路、柳林路、万育街等路段增设机动车临时停车泊位。三是加强中高考期间噪声管控，纠正噪音扰民。四是制定街长制工作实施办法，建立情况反馈、联络会商、提醒提示、监督考核制度。五是严格落实行政执法“三项制度”，规范行政执法程序，审查行政执法案件。六是开展燃气领域安全专项执法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14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895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随着我市经济高速发展，市城区快速扩容，执法管理任务愈加繁重，支队执法力量不足矛盾日益突出。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jc w:val="center"/>
        </w:trPr>
        <w:tc>
          <w:tcPr>
            <w:tcW w:w="14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895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规范执法行为，强调文明执法，加大对城管执法经费的支持。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5" w:hRule="atLeast"/>
          <w:jc w:val="center"/>
        </w:trPr>
        <w:tc>
          <w:tcPr>
            <w:tcW w:w="14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895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436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单位项目负责人：王凌云</w:t>
            </w:r>
          </w:p>
        </w:tc>
        <w:tc>
          <w:tcPr>
            <w:tcW w:w="6075"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436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6075"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0439"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shd w:val="clear" w:color="000000" w:fill="auto"/>
        <w:spacing w:beforeLines="0" w:afterLines="0"/>
        <w:ind w:left="0" w:leftChars="0" w:right="0" w:firstLine="0" w:firstLineChars="0"/>
        <w:jc w:val="center"/>
        <w:rPr>
          <w:rFonts w:hint="eastAsia" w:ascii="方正黑体简体" w:hAnsi="方正黑体简体" w:eastAsia="方正黑体简体" w:cs="方正黑体简体"/>
          <w:color w:val="auto"/>
          <w:sz w:val="32"/>
          <w:szCs w:val="24"/>
          <w:highlight w:val="none"/>
          <w:lang w:val="zh-CN"/>
        </w:rPr>
      </w:pPr>
    </w:p>
    <w:tbl>
      <w:tblPr>
        <w:tblStyle w:val="11"/>
        <w:tblW w:w="109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8"/>
        <w:gridCol w:w="499"/>
        <w:gridCol w:w="330"/>
        <w:gridCol w:w="900"/>
        <w:gridCol w:w="1537"/>
        <w:gridCol w:w="750"/>
        <w:gridCol w:w="788"/>
        <w:gridCol w:w="787"/>
        <w:gridCol w:w="863"/>
        <w:gridCol w:w="750"/>
        <w:gridCol w:w="787"/>
        <w:gridCol w:w="938"/>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909"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909"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项目名称：市城区流浪犬只收养中心运行经费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79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76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48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82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76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35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476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负责犬只饲养、犬舍清洗消毒、病死犬只无害化处理等工作，保障流浪犬只收养中心正常运行。</w:t>
            </w:r>
          </w:p>
        </w:tc>
        <w:tc>
          <w:tcPr>
            <w:tcW w:w="435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通过项目的实施，集中对城区流浪犬只、违规养犬暂扣的犬只进行收容处置，降低市城区流浪犬只密度，保障市民聚会出行的安全。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911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按照年初工作计划，由市城市管理行政执法支队河西大队指定专人每月报销饲养犬只产生的费用、基础设施及专用设备维护费、医疗防护用具采购等费用。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82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32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4.00</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4.00</w:t>
            </w:r>
          </w:p>
        </w:tc>
        <w:tc>
          <w:tcPr>
            <w:tcW w:w="232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4.00</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4.00</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4.00</w:t>
            </w:r>
          </w:p>
        </w:tc>
        <w:tc>
          <w:tcPr>
            <w:tcW w:w="232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4.00</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32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32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32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82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饲养员</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等于</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名</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狗粮</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0.5</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斤/只/天</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0.5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犬只收养中心运转效率</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高中低</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高</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基础设施设备维修维护费；犬只食物费用；犬只档案管理费；水电费；水电费</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4万元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900" w:type="dxa"/>
            <w:tcBorders>
              <w:top w:val="single" w:color="000000" w:sz="4" w:space="0"/>
              <w:left w:val="single" w:color="000000" w:sz="4" w:space="0"/>
              <w:bottom w:val="nil"/>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防止发生犬吠扰民、犬只伤人、流浪犬只聚集、不文明养犬等行为，确保市民健康安全</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15</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15</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nil"/>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维护社会公共秩序，树立城市文明形象</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15</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15</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建立健全流浪犬只管理常态工作机制，维护良好城市环境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群众对流浪犬只收养工作的满意度</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422"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98</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46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44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通过制止制止不文明养犬行为，捕捉流浪犬只，处罚敞放犬只行为，解决了流浪犬带来的安全隐患，为助力国家卫生城市的巩固，创建文明城市、建设中国最干净城市做出积极的贡献。截止2022年12月31日，流浪犬只收养中心全年无大面积疫病传染，无犬只集体死亡，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46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44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流浪犬只收容饲养数量增加，运行经费不足；流浪犬只扰民、部分市民遛犬不牵绳等问题还不同程度存在。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46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44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加大资金投入，加大宣传力度，维修改建犬舍基础设施，协调农业农村部门共同做好犬只免疫工作，保障中心正常运行。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46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44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498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单位项目负责人：匡伟</w:t>
            </w:r>
          </w:p>
        </w:tc>
        <w:tc>
          <w:tcPr>
            <w:tcW w:w="5925"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498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5925"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909"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shd w:val="clear" w:color="000000" w:fill="auto"/>
        <w:spacing w:beforeLines="0" w:afterLines="0"/>
        <w:ind w:left="0" w:leftChars="0" w:right="0" w:firstLine="0" w:firstLineChars="0"/>
        <w:jc w:val="center"/>
        <w:rPr>
          <w:rFonts w:hint="eastAsia" w:ascii="方正黑体简体" w:hAnsi="方正黑体简体" w:eastAsia="方正黑体简体" w:cs="方正黑体简体"/>
          <w:color w:val="auto"/>
          <w:sz w:val="32"/>
          <w:szCs w:val="24"/>
          <w:highlight w:val="none"/>
          <w:lang w:val="zh-CN"/>
        </w:rPr>
      </w:pPr>
    </w:p>
    <w:tbl>
      <w:tblPr>
        <w:tblStyle w:val="11"/>
        <w:tblW w:w="110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5"/>
        <w:gridCol w:w="541"/>
        <w:gridCol w:w="396"/>
        <w:gridCol w:w="975"/>
        <w:gridCol w:w="1875"/>
        <w:gridCol w:w="713"/>
        <w:gridCol w:w="712"/>
        <w:gridCol w:w="675"/>
        <w:gridCol w:w="863"/>
        <w:gridCol w:w="750"/>
        <w:gridCol w:w="637"/>
        <w:gridCol w:w="82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1027"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1027"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项目名称：数字化城管信息系统运行经费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95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95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26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93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95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12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495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保障数字化城管信息系统、道路扬尘视频监控系统、机动车违停处罚系统正常运行。</w:t>
            </w:r>
          </w:p>
        </w:tc>
        <w:tc>
          <w:tcPr>
            <w:tcW w:w="412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保障数字化城市管理信息系统正常运行，全面发挥其在城市精细化管理方面的作用。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9075"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按照年初制定的计划，由市数字化城管指挥中心指定专人每月报销城管通、数字化城管信息系统、机动车违法处罚系统、服务器、交换机等硬件设备运行的电费。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城管通数量</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等于</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20部</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城管通费用；中心机房内服务器、交换器等硬件设备及办公运行电费；数字化城管信息系统维保费</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10万元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提高了市级城市管理案件的处置效率</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提高了我市数字化城市管理水平</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降低了执法人力成本</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群众对城管数字化管理系统工作的满意度</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765"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99</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0" w:hRule="atLeast"/>
          <w:jc w:val="center"/>
        </w:trPr>
        <w:tc>
          <w:tcPr>
            <w:tcW w:w="155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47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指标全面完成，项目社会效益、可持续发展效益明显，主要集中在：一是积极推动城市运行管理服务平台建设工作，起草《广元市城市运行管理服务平台建设工作方案》，将城市综合管理服务平台列入政府治理提升专项工程，主动对接“城市大脑”建设工作。二是采取城管执法大队巡查与市数字化城管监督指挥中心天网视频巡查相结合的方式采集信息，应用数字化城管平台闭环高效处置城市管理问题。三是做好信息系统管理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55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47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随着运行年限增长，数字化城管信息系统硬件设备老化，内存、存储等资源不足。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55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47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加大运维资金，尽快网络安全和信息化建设保护工作。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55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47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551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单位项目负责人：刘婷婷</w:t>
            </w:r>
          </w:p>
        </w:tc>
        <w:tc>
          <w:tcPr>
            <w:tcW w:w="5512"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551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5512"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11027"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tbl>
      <w:tblPr>
        <w:tblStyle w:val="11"/>
        <w:tblW w:w="10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769"/>
        <w:gridCol w:w="250"/>
        <w:gridCol w:w="903"/>
        <w:gridCol w:w="1217"/>
        <w:gridCol w:w="862"/>
        <w:gridCol w:w="938"/>
        <w:gridCol w:w="787"/>
        <w:gridCol w:w="825"/>
        <w:gridCol w:w="788"/>
        <w:gridCol w:w="900"/>
        <w:gridCol w:w="937"/>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774"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774"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项目名称：火车站站前广场管理经费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75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70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48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101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70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31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470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保障火车站站前广场及周边市容秩序良好，市政设施运行正常，环境干净卫生。</w:t>
            </w:r>
          </w:p>
        </w:tc>
        <w:tc>
          <w:tcPr>
            <w:tcW w:w="431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以市容秩序管理为重点，牵头出站口卡口防疫、协调相关部门抓好市政设施设置和管理维护、环卫清扫保洁等工作。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90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由火车站站前广场管理中心指定专人每月报销广场出入站口电梯维修费用；火车站宣传及标识标牌制作、更换费用；对疫情防控、应急处置、零星公共设施、标识标牌进行维修、更新。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10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58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258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258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58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58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58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10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火车站公益广告及标识条数</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条</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50</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火车站站前反恐防暴演练次数</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次/周</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1次/周</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防疫物资质量</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合格、不合格</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合格</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火车站站前广场运转效率</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高、中、低</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高</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火车站站前广场出入站口电梯维修费用；火车站宣传及标识标牌制作、更换费用；疫情防控及应急工作费用；出站口电梯运维费</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10万元</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保证火车站周边客运秩序、市容秩序规范</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消除安全隐患，推动“平安广元”建设</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进出口旅客对火车站站前广场市容市貌的满意度</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286"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99</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27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指标全面完成，项目社会效益、可持续发展效益明显：一是统筹和协调市住建设局及下属等部门分别完成站前广场送客通道路面改建、维护开通换乘通道、更换客运通道40余盏路灯、维护地下通道渗漏、解决防疫隔离区排水等设施建设。二是积极落实市防疫指挥部要求，完成“入川即检”工作。三是积极开展社会治安立体巡防联控工作，组织做好春运、国庆和党的二十大等重大保障工作。四是定期组织联动执法及安全检查。五是持续开展市容专项整治。六是协调进站口、出站口、停车场及周边商户大型氛LED产权单位刊播及设置各类公益广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27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进站口运行电梯数量的增加，电费、维保及维修成本将逐年增加，运行经费较紧张。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27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适当增加运行经费，保障公共设施、设备及时维护维修。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5"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27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4736"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单位项目负责人：曾里</w:t>
            </w:r>
          </w:p>
        </w:tc>
        <w:tc>
          <w:tcPr>
            <w:tcW w:w="6038"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4736"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6038"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774"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pStyle w:val="6"/>
        <w:shd w:val="clear" w:color="010000" w:fill="auto"/>
        <w:ind w:left="0" w:leftChars="0" w:right="0" w:firstLine="0" w:firstLineChars="0"/>
        <w:jc w:val="center"/>
        <w:rPr>
          <w:rFonts w:hint="eastAsia"/>
          <w:color w:val="auto"/>
          <w:highlight w:val="none"/>
          <w:lang w:val="zh-CN"/>
        </w:rPr>
      </w:pPr>
    </w:p>
    <w:tbl>
      <w:tblPr>
        <w:tblStyle w:val="11"/>
        <w:tblW w:w="10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1"/>
        <w:gridCol w:w="620"/>
        <w:gridCol w:w="370"/>
        <w:gridCol w:w="851"/>
        <w:gridCol w:w="1125"/>
        <w:gridCol w:w="787"/>
        <w:gridCol w:w="788"/>
        <w:gridCol w:w="787"/>
        <w:gridCol w:w="938"/>
        <w:gridCol w:w="787"/>
        <w:gridCol w:w="750"/>
        <w:gridCol w:w="1013"/>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517"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517"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项目名称：乡村振兴经费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9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3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300"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9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3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2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43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推动乡村振兴、发展集体经济、提升治理水平。</w:t>
            </w:r>
          </w:p>
        </w:tc>
        <w:tc>
          <w:tcPr>
            <w:tcW w:w="42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通过项目的实施，改善人居环境，实现乡村振兴。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8576"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按照年初工作计划，协助帮扶村开展基层组织建设、推动乡村振兴、发展集体经济、提升治理水平等工作，驻村工作人员每月按实际报销差旅费、工作补贴等费用。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9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36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9.10</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9.10</w:t>
            </w:r>
          </w:p>
        </w:tc>
        <w:tc>
          <w:tcPr>
            <w:tcW w:w="236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9.10</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9.10</w:t>
            </w:r>
          </w:p>
        </w:tc>
        <w:tc>
          <w:tcPr>
            <w:tcW w:w="236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36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36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36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125" w:type="dxa"/>
            <w:tcBorders>
              <w:top w:val="single" w:color="000000" w:sz="4" w:space="0"/>
              <w:left w:val="single" w:color="000000" w:sz="4" w:space="0"/>
              <w:bottom w:val="nil"/>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851" w:type="dxa"/>
            <w:tcBorders>
              <w:top w:val="single" w:color="000000" w:sz="4" w:space="0"/>
              <w:left w:val="single" w:color="000000" w:sz="4" w:space="0"/>
              <w:bottom w:val="single" w:color="000000" w:sz="4" w:space="0"/>
              <w:right w:val="nil"/>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乡村振兴驻村人员</w:t>
            </w:r>
          </w:p>
        </w:tc>
        <w:tc>
          <w:tcPr>
            <w:tcW w:w="787" w:type="dxa"/>
            <w:tcBorders>
              <w:top w:val="single" w:color="000000" w:sz="4" w:space="0"/>
              <w:left w:val="nil"/>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等于</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人</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51" w:type="dxa"/>
            <w:tcBorders>
              <w:top w:val="single" w:color="000000" w:sz="4" w:space="0"/>
              <w:left w:val="single" w:color="000000" w:sz="4" w:space="0"/>
              <w:bottom w:val="single" w:color="000000" w:sz="4" w:space="0"/>
              <w:right w:val="nil"/>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乡镇工作补贴周期</w:t>
            </w:r>
          </w:p>
        </w:tc>
        <w:tc>
          <w:tcPr>
            <w:tcW w:w="787" w:type="dxa"/>
            <w:tcBorders>
              <w:top w:val="single" w:color="000000" w:sz="4" w:space="0"/>
              <w:left w:val="nil"/>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等于</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12</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个月</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12个月</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51" w:type="dxa"/>
            <w:tcBorders>
              <w:top w:val="single" w:color="000000" w:sz="4" w:space="0"/>
              <w:left w:val="single" w:color="000000" w:sz="4" w:space="0"/>
              <w:bottom w:val="single" w:color="000000" w:sz="4" w:space="0"/>
              <w:right w:val="nil"/>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补贴发放率</w:t>
            </w:r>
          </w:p>
        </w:tc>
        <w:tc>
          <w:tcPr>
            <w:tcW w:w="787" w:type="dxa"/>
            <w:tcBorders>
              <w:top w:val="single" w:color="000000" w:sz="4" w:space="0"/>
              <w:left w:val="nil"/>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等于</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51" w:type="dxa"/>
            <w:tcBorders>
              <w:top w:val="single" w:color="000000" w:sz="4" w:space="0"/>
              <w:left w:val="single" w:color="000000" w:sz="4" w:space="0"/>
              <w:bottom w:val="single" w:color="000000" w:sz="4" w:space="0"/>
              <w:right w:val="nil"/>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驻村人员生活质量保障</w:t>
            </w:r>
          </w:p>
        </w:tc>
        <w:tc>
          <w:tcPr>
            <w:tcW w:w="787" w:type="dxa"/>
            <w:tcBorders>
              <w:top w:val="single" w:color="000000" w:sz="4" w:space="0"/>
              <w:left w:val="nil"/>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等于</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125" w:type="dxa"/>
            <w:tcBorders>
              <w:top w:val="nil"/>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往返差旅费；生活补助；乡镇工作补贴</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9.1</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9.1万元</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农村面貌改观</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农民生活水平提高</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推动乡村振兴战略</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驻村人员对补贴待遇满意度</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217"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99</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7" w:hRule="atLeast"/>
          <w:jc w:val="center"/>
        </w:trPr>
        <w:tc>
          <w:tcPr>
            <w:tcW w:w="157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8946"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sz w:val="21"/>
                <w:szCs w:val="21"/>
              </w:rPr>
              <w:t>项目指标全面完成，项目社会效益、可持续发展效益明显。一是结合乡村振兴战略，积极争取各类政策、资金支持。二是完善村规民约、检查评比、红黑榜等长效监管机制，逗硬落实“门前五包”“联户保洁”等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57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8946"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我局驻村工作人员5人，且分散在两个村，项目经费紧张。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57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8946"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适当项目经费，提高驻村人员生活保障。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57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8946"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70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单位项目负责人：马均勇</w:t>
            </w:r>
          </w:p>
        </w:tc>
        <w:tc>
          <w:tcPr>
            <w:tcW w:w="5813"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70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5813"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517"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tbl>
      <w:tblPr>
        <w:tblStyle w:val="11"/>
        <w:tblW w:w="108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
        <w:gridCol w:w="631"/>
        <w:gridCol w:w="310"/>
        <w:gridCol w:w="1012"/>
        <w:gridCol w:w="1112"/>
        <w:gridCol w:w="863"/>
        <w:gridCol w:w="975"/>
        <w:gridCol w:w="862"/>
        <w:gridCol w:w="863"/>
        <w:gridCol w:w="825"/>
        <w:gridCol w:w="825"/>
        <w:gridCol w:w="937"/>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889"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10889"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项目名称：办公家具购置经费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82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82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375"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94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82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2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482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购置办公家具一批，满足日常工作需要。</w:t>
            </w:r>
          </w:p>
        </w:tc>
        <w:tc>
          <w:tcPr>
            <w:tcW w:w="42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提供办公环境，提高办公效率，推动城管工作。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906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以节约办公、绿色办公为原则，盘点各个科室及大队办公家具现有情况，申报办公家具需求，经实地核查、主要领导同意后统一购置办公家具，涉及文件柜、办公椅及沙发等。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7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4.80</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4.80</w:t>
            </w:r>
          </w:p>
        </w:tc>
        <w:tc>
          <w:tcPr>
            <w:tcW w:w="27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3.37</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70.11%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7</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以节约资金为原则，以最后采购合同价支付。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4.80</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4.80</w:t>
            </w:r>
          </w:p>
        </w:tc>
        <w:tc>
          <w:tcPr>
            <w:tcW w:w="27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3.37</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70.11%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7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7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70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tcBorders>
              <w:top w:val="nil"/>
              <w:left w:val="single" w:color="000000" w:sz="4" w:space="0"/>
              <w:bottom w:val="nil"/>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办公家具质量</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合格、不合格</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合格</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文件柜；办公椅；三人沙发</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4.8</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3.37</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提高办公效率</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提升办公环境</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全局干部职工对办公环境满意度</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514"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97</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jc w:val="center"/>
        </w:trPr>
        <w:tc>
          <w:tcPr>
            <w:tcW w:w="151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37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整个项目目标任务全面完成、资金管理规范，通过项目实施，提升了办公环境，提高了办公效率，推动了城管工作。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51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37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51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37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51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37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481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单位项目负责人：赵薇薇</w:t>
            </w:r>
          </w:p>
        </w:tc>
        <w:tc>
          <w:tcPr>
            <w:tcW w:w="6075"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481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6075"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0889"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tbl>
      <w:tblPr>
        <w:tblStyle w:val="11"/>
        <w:tblW w:w="11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5"/>
        <w:gridCol w:w="550"/>
        <w:gridCol w:w="516"/>
        <w:gridCol w:w="1000"/>
        <w:gridCol w:w="1527"/>
        <w:gridCol w:w="730"/>
        <w:gridCol w:w="270"/>
        <w:gridCol w:w="587"/>
        <w:gridCol w:w="707"/>
        <w:gridCol w:w="1029"/>
        <w:gridCol w:w="664"/>
        <w:gridCol w:w="814"/>
        <w:gridCol w:w="922"/>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035" w:type="dxa"/>
            <w:gridSpan w:val="14"/>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1035" w:type="dxa"/>
            <w:gridSpan w:val="1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项目名称：市本级城市生活垃圾分类服务费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9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821"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21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10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821"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24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4821"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按照生活垃圾减量化、资源化、无害化要求，紧盯分类投放、收集、运输、处置关键环节，推动生活垃圾分类工作。</w:t>
            </w:r>
          </w:p>
        </w:tc>
        <w:tc>
          <w:tcPr>
            <w:tcW w:w="424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以统筹推进、完善体系、强化源头、坚持示范、依法治理为重点，将生活垃圾减量化、资源化、无害化，实现生活垃圾分类。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9064"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由广元市生活垃圾分类中心指定专人负责日常考核、报账等工作。我局与四川绿能环保科技股份有限公司签订分类服务项目特许经营协议，四川绿能环保科技股份有限公司履行协议约定内容，按时开展市城区垃圾分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29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1,409.21</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4763.06</w:t>
            </w:r>
          </w:p>
        </w:tc>
        <w:tc>
          <w:tcPr>
            <w:tcW w:w="229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4763.06</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1,409.21</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4763.06</w:t>
            </w:r>
          </w:p>
        </w:tc>
        <w:tc>
          <w:tcPr>
            <w:tcW w:w="229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4763.06</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29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29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29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环境质量</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提高、降低</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提高</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15</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服务费</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等于</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145</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元/户</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145元/户</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13</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形成良好的垃圾分类氛围</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持续推进绿色低碳发展</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生态效益指标</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垃圾分类参与度提高，减少对环境污染的影响</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市民对生活垃圾分类的满意度</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8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98</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580"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是稳步推进分类投放设施升级改造，城市、县城生活垃圾无害化处理率达100%，全市农村生活垃圾收转运处置体系行政村覆盖率保持在100%。继续将垃圾分类设施建设纳入新建住宅小区、老旧小区改造同步规划、同步施工、同步验收。二是打造生活垃圾分类示范教育基地、示范单位和示范小区，实现生活垃圾分类管理主体、分类类别、分类系统全覆盖，利州区南鹰小学、市妇幼保健院被国家机关事务管理局评为深入推进公共机构生活垃圾分类和资源循环利用示范工作重点单位。结合朝天区全国农村生活垃圾分类和资源化利用示范县建设，进一步完善“户分类、村收集、乡镇转运、市县处理”垃圾治理体系，打造农村生活垃圾分类示范乡镇（场镇）、示范村，朝天区农村生活垃圾分类治理经验在住建部《建设工作简报》刊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580"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依然未实现全民参与的垃圾分类氛围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7"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580"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是示范引领，狠抓体系建设。持续开展示范教育基地、示范单位、示范小区等创建。优化健全生活垃圾投收运处体制，提升全市生活垃圾分类工作水平。二是科技创新，探索“两网融合”新模式。充分运用“互联网+资源回收”新形式，形成线上呼收，线下快捷上门服务的收购体系，基本建成交投便利、转运畅通的回收网络，实现城区全覆盖。三是宣传培训，引领分类新时尚。继续在广播、电视、网站等媒体大力宣传垃圾分类工作。持续拓展和延伸垃圾分类“蒲公英行动”，结合“七进”活动，对各行业开展生活垃圾分类宣传引导，营造“人人参与垃圾分类”的浓厚社会氛围，提升群众知晓率和参与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580"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yellow"/>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5498"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单位项目负责人：张东</w:t>
            </w:r>
          </w:p>
        </w:tc>
        <w:tc>
          <w:tcPr>
            <w:tcW w:w="5537"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5498"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5537"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1035" w:type="dxa"/>
            <w:gridSpan w:val="1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1035" w:type="dxa"/>
            <w:gridSpan w:val="14"/>
            <w:tcBorders>
              <w:top w:val="nil"/>
              <w:left w:val="nil"/>
              <w:bottom w:val="nil"/>
              <w:right w:val="nil"/>
            </w:tcBorders>
            <w:vAlign w:val="center"/>
          </w:tcPr>
          <w:p>
            <w:pPr>
              <w:shd w:val="clear" w:color="000000" w:fill="auto"/>
              <w:ind w:left="0" w:leftChars="0" w:right="0" w:firstLine="0" w:firstLineChars="0"/>
              <w:jc w:val="center"/>
              <w:rPr>
                <w:rFonts w:hint="eastAsia" w:ascii="宋体" w:hAnsi="宋体" w:eastAsia="宋体" w:cs="宋体"/>
                <w:i w:val="0"/>
                <w:iCs w:val="0"/>
                <w:color w:val="auto"/>
                <w:sz w:val="18"/>
                <w:szCs w:val="18"/>
                <w:highlight w:val="none"/>
                <w:u w:val="none"/>
              </w:rPr>
            </w:pPr>
          </w:p>
        </w:tc>
      </w:tr>
    </w:tbl>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tbl>
      <w:tblPr>
        <w:tblStyle w:val="11"/>
        <w:tblW w:w="10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
        <w:gridCol w:w="668"/>
        <w:gridCol w:w="218"/>
        <w:gridCol w:w="1000"/>
        <w:gridCol w:w="1450"/>
        <w:gridCol w:w="726"/>
        <w:gridCol w:w="825"/>
        <w:gridCol w:w="660"/>
        <w:gridCol w:w="1140"/>
        <w:gridCol w:w="765"/>
        <w:gridCol w:w="825"/>
        <w:gridCol w:w="876"/>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915"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915"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项目名称：市城区病媒生物防制药品及消杀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8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66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30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88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66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4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466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坚持把除“四害”作为爱国卫生工作重要内容，结合爱国卫生活动月，广泛发动群众，大力开展环境卫生综合治理。</w:t>
            </w:r>
          </w:p>
        </w:tc>
        <w:tc>
          <w:tcPr>
            <w:tcW w:w="44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会同除四害技术指导站，组织干部群众采取“一封二填三疏四排五清”等措施，治理病媒生物孳生地，完善“三防”等设施设备，“四害”密度控制在国家规定标准之内，旺苍县、剑阁县通过病媒生物防制达标市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9107"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是通过购买服务方式，由专业消杀公司开展“四害”消杀。每年春秋两季，以城中村、城乡结合部、集贸市场、“五小”行业、食品加工经营等单位为重点，集中开展灭鼠活动投放鼠药、喷洒蚊蝇蟑螂药、设灭鼠毒饵站。二是张贴除四害药物消杀公告及鼠药投放警示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21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84.60</w:t>
            </w:r>
          </w:p>
        </w:tc>
        <w:tc>
          <w:tcPr>
            <w:tcW w:w="221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84.60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84.60</w:t>
            </w:r>
          </w:p>
        </w:tc>
        <w:tc>
          <w:tcPr>
            <w:tcW w:w="221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84.60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21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21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21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“八小”行业，毒饵法投放次数</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次</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1次</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喷洒法投放次数</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6</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次</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6次</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“四害”密度</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控制、不控制</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控制</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时效指标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投放完成时效</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5-12</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月</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5-12月</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（2021年）毒饵法药物、人工及器械成本；喷洒法药物、人工及器械成本</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28.6万元</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（2022年）毒饵法药物、人工及器械成本；喷洒法药物、人工及器械成本</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60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56万元</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生态环境效益</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切实减少“四害”孳生地</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减少细菌传播，利于人民健康</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不断强化环境治理，环境可持续发展</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群众对除四害效果满意度</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60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99</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0" w:hRule="atLeast"/>
          <w:jc w:val="center"/>
        </w:trPr>
        <w:tc>
          <w:tcPr>
            <w:tcW w:w="15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32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是会同除四害技术指导站，组织干部群众采取“一封二填三疏四排五清”等措施，治理病媒生物孳生地，完善“三防”等设施设备，“四害”密度控制在国家规定标准之内，旺苍县、剑阁县通过病媒生物防制达标市级考核。二是积极开展纪念爱国卫生运动70周年和第34个爱国卫生月系列活动，督促指导各县区、各部门单位结合爱卫月活动主题，采取多种形式广泛宣传爱国卫生运动的历史背景、工作历程及成效，以及卫生健康、疾病防控知识，制作张贴宣传标语、宣传专栏，组织宣传、义诊活动，发放资料。截止2022年12月31日，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jc w:val="center"/>
        </w:trPr>
        <w:tc>
          <w:tcPr>
            <w:tcW w:w="15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32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群众参与意识不强，环境治理、爱国卫生宣传引导力度不够，群众环境保护意识淡薄，文明健康绿色环保的生活方式尚未养成。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jc w:val="center"/>
        </w:trPr>
        <w:tc>
          <w:tcPr>
            <w:tcW w:w="15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32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抓好病媒生物防制，落实病媒生物综合防制措施，有效控制“四害”密度，确保市本级病媒生物防制达标考核顺利通过省级考核。抓好爱国卫生长效管理机制建设，持续开展群众性爱国卫生运动。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15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32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498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单位项目负责人：曾玲</w:t>
            </w:r>
          </w:p>
        </w:tc>
        <w:tc>
          <w:tcPr>
            <w:tcW w:w="5931"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498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5931"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10915"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pStyle w:val="6"/>
        <w:shd w:val="clear" w:color="010000" w:fill="auto"/>
        <w:ind w:left="0" w:leftChars="0" w:right="0" w:firstLine="0" w:firstLineChars="0"/>
        <w:jc w:val="center"/>
        <w:rPr>
          <w:rFonts w:hint="eastAsia"/>
          <w:color w:val="auto"/>
          <w:highlight w:val="none"/>
          <w:lang w:val="zh-CN"/>
        </w:rPr>
      </w:pPr>
    </w:p>
    <w:tbl>
      <w:tblPr>
        <w:tblStyle w:val="11"/>
        <w:tblW w:w="11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9"/>
        <w:gridCol w:w="1116"/>
        <w:gridCol w:w="62"/>
        <w:gridCol w:w="704"/>
        <w:gridCol w:w="1556"/>
        <w:gridCol w:w="908"/>
        <w:gridCol w:w="1150"/>
        <w:gridCol w:w="900"/>
        <w:gridCol w:w="850"/>
        <w:gridCol w:w="778"/>
        <w:gridCol w:w="814"/>
        <w:gridCol w:w="943"/>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281"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1281"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项目名称：元旦、春节氛围营造经费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6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5280"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45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5280"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30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5280"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通过设置大型灯笼景观造型、火车站出站口及地下通道悬挂灯笼，烘托节日氛围，弘扬文化传统。</w:t>
            </w:r>
          </w:p>
        </w:tc>
        <w:tc>
          <w:tcPr>
            <w:tcW w:w="430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营造安定和谐、欢乐祥和喜庆热烈的节日氛围，弘扬中国优秀的传统文化，展示新时代的新形象。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9586"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按照年初制定的计划，由火车站站前管理事务中心负责该项目具体实施及完工验收工作。通过设置大型灯笼景观造型、火车站出站口及地下通道悬挂灯笼，烘托节日氛围，弘扬文化传统。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95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12.00</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12.00</w:t>
            </w:r>
          </w:p>
        </w:tc>
        <w:tc>
          <w:tcPr>
            <w:tcW w:w="295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12.00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12.00</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12.00</w:t>
            </w:r>
          </w:p>
        </w:tc>
        <w:tc>
          <w:tcPr>
            <w:tcW w:w="295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12.00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95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95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95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restart"/>
            <w:tcBorders>
              <w:top w:val="single" w:color="000000" w:sz="4" w:space="0"/>
              <w:left w:val="single" w:color="000000" w:sz="4" w:space="0"/>
              <w:bottom w:val="nil"/>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火车站站前广场氛围造型</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座</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continue"/>
            <w:tcBorders>
              <w:top w:val="single" w:color="000000" w:sz="4" w:space="0"/>
              <w:left w:val="single" w:color="000000" w:sz="4" w:space="0"/>
              <w:bottom w:val="nil"/>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火车站站前广场氛围造型材料质量</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合格、不合格</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合格</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continue"/>
            <w:tcBorders>
              <w:top w:val="single" w:color="000000" w:sz="4" w:space="0"/>
              <w:left w:val="single" w:color="000000" w:sz="4" w:space="0"/>
              <w:bottom w:val="nil"/>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时效指标</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营造氛围时间</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元旦、春节等重大节日</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日期</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元旦、春节</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突出热烈、欢庆的节日气氛，展现其乐融融、安定祥和的生活</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迎合文化传统，契合中央精神</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提高文化自信，符合人民群众对美好生活的期盼</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5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旅客对站前广场氛围营造满意度</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825"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100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99</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jc w:val="center"/>
        </w:trPr>
        <w:tc>
          <w:tcPr>
            <w:tcW w:w="17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52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通过悬挂灯笼、满天星灯串、中国结数量、氛围造型，广场春节期间亮灯率达100%。项目实施营造了安定和谐、欢乐祥和及喜庆热烈的节日氛围，弘扬中国优秀的传统文化，提高了人民群众的文化自信，符合人民群众对美好生活的期盼。截止2022年12月31日，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7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52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个别群众对景观造型及其景观设施不爱护。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7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52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加大宣传，号召对景观造型及其景观设施的共同参与与维护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7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52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left"/>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492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单位项目负责人：曾里</w:t>
            </w:r>
          </w:p>
        </w:tc>
        <w:tc>
          <w:tcPr>
            <w:tcW w:w="6356"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492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6356"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1281"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both"/>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tbl>
      <w:tblPr>
        <w:tblStyle w:val="11"/>
        <w:tblW w:w="11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573"/>
        <w:gridCol w:w="738"/>
        <w:gridCol w:w="910"/>
        <w:gridCol w:w="1515"/>
        <w:gridCol w:w="771"/>
        <w:gridCol w:w="750"/>
        <w:gridCol w:w="707"/>
        <w:gridCol w:w="793"/>
        <w:gridCol w:w="793"/>
        <w:gridCol w:w="878"/>
        <w:gridCol w:w="965"/>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067"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1067"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项目名称：集中慰问经费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212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65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493"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131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65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28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465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为提高一线人员工作热情，保障执法工作正常运行</w:t>
            </w:r>
          </w:p>
        </w:tc>
        <w:tc>
          <w:tcPr>
            <w:tcW w:w="428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肯定一线执法人员工作，展现对干部职工的关心关怀，提高工作积极性。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8939"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按照年初制定的计划，通过制定慰问方案。春节集中对一线队员进行关心关怀，带去节日的慰问预祝福，肯定工作能力和工作热情。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22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8.13</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8.13</w:t>
            </w:r>
          </w:p>
        </w:tc>
        <w:tc>
          <w:tcPr>
            <w:tcW w:w="222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8.13</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8.13</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8.13</w:t>
            </w:r>
          </w:p>
        </w:tc>
        <w:tc>
          <w:tcPr>
            <w:tcW w:w="222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8.13</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2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2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2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慰问人数</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271</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人</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271</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时效指标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慰问时间</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春节</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春节</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5</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慰问经费</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等于</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8.13</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8.13万元</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展现人文关怀，肯定一线队员辛勤付出</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提高队员工作热情，坚守工作岗位</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一线队员对慰问工作满意度</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574"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100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13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677"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整个项目目标任务全面完成、资金管理规范。项目的实施展现了人文关怀，肯定了城管工作，激励城管人再接再厉，做好城市文明的践行者、当好城市环境秩序的守护者，进一步提高城市市容环境综合管理水平。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3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677"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13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677"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jc w:val="center"/>
        </w:trPr>
        <w:tc>
          <w:tcPr>
            <w:tcW w:w="13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677"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532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单位项目负责人：张正国</w:t>
            </w:r>
          </w:p>
        </w:tc>
        <w:tc>
          <w:tcPr>
            <w:tcW w:w="5743"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532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5743"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067"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tbl>
      <w:tblPr>
        <w:tblStyle w:val="11"/>
        <w:tblW w:w="11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3"/>
        <w:gridCol w:w="862"/>
        <w:gridCol w:w="965"/>
        <w:gridCol w:w="1200"/>
        <w:gridCol w:w="758"/>
        <w:gridCol w:w="943"/>
        <w:gridCol w:w="66"/>
        <w:gridCol w:w="770"/>
        <w:gridCol w:w="1221"/>
        <w:gridCol w:w="643"/>
        <w:gridCol w:w="793"/>
        <w:gridCol w:w="900"/>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076"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1076"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项目名称：春节、清明、中元节定点祭祀工作经费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70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25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70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47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470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加强清明、中元节期间祭祀活动管理，树立文明新风。</w:t>
            </w:r>
          </w:p>
        </w:tc>
        <w:tc>
          <w:tcPr>
            <w:tcW w:w="447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进一步加强“清明节”“中元节”市城区定点祭祀活动管理，防止发生火灾事故和污染大气环境，树立文明祭祀新风尚。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918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根据《中华人民共和国大气污染防治法》《中华人民共和国消防法》《中华人民共和国水污染防治法》《四川省城乡环境综合治理条例》《广元市城市市容和环境卫生管理条例》等法律法规规定，由我局牵头负责祭祀场点选址，搭建祭祀棚亭，设置引导牌、宣传牌,设置鲜花祭祀点，负责市城区主要街道的巡查，查处不在规定祭祀场点祭祀的行为，配合相关部门开展文明祭祀宣传教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53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0.00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24.48</w:t>
            </w:r>
          </w:p>
        </w:tc>
        <w:tc>
          <w:tcPr>
            <w:tcW w:w="253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24.48</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0.00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24.48</w:t>
            </w:r>
          </w:p>
        </w:tc>
        <w:tc>
          <w:tcPr>
            <w:tcW w:w="253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24.48</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53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53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53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restart"/>
            <w:tcBorders>
              <w:top w:val="nil"/>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祭祀宣传资料</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2000</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张</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2000张</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nil"/>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大型祭祀通告</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张</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100张</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nil"/>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防疫物资质量</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合格、不合格</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合格</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nil"/>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祭祀棚搭设时间</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春节、清明及中元节</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春节、清明及中元节</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搭设棚材料及宣传材料</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24.48</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24.48万元</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预防火灾事故</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倡导文明祭祀新风尚</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生态效益指标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定点祭祀，利于生态保护</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群众对定点祭祀棚搭设的满意度</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818"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100</w:t>
            </w:r>
          </w:p>
        </w:tc>
        <w:tc>
          <w:tcPr>
            <w:tcW w:w="79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99</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18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项目的实施和专项经费的使用，让群众自觉摒弃不文明的祭祀方式，推动绿色祭祀，文明祭祀。其次利于加强生态保护，预防火灾事故,是建设中国生态康养旅游名市和最干净城市的重要举措。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18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不定点、不文明祭祀的行为依然存在。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18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需要公安、水利、林业、生态环境、城管执法等部门密切配合，加强巡查监管，对不在指定地点焚烧香烛冥纸（币）等行为，要及时制止。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18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5827"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单位项目负责人：赵薇薇</w:t>
            </w:r>
          </w:p>
        </w:tc>
        <w:tc>
          <w:tcPr>
            <w:tcW w:w="5249"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5827"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5249"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1076"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财政部门科室负责人：赵策</w:t>
            </w:r>
          </w:p>
        </w:tc>
      </w:tr>
    </w:tbl>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tbl>
      <w:tblPr>
        <w:tblStyle w:val="11"/>
        <w:tblW w:w="10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9"/>
        <w:gridCol w:w="862"/>
        <w:gridCol w:w="1064"/>
        <w:gridCol w:w="1307"/>
        <w:gridCol w:w="879"/>
        <w:gridCol w:w="835"/>
        <w:gridCol w:w="690"/>
        <w:gridCol w:w="915"/>
        <w:gridCol w:w="660"/>
        <w:gridCol w:w="855"/>
        <w:gridCol w:w="96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701" w:type="dxa"/>
            <w:gridSpan w:val="12"/>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701"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项目名称：全国文明城市创建经费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68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77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330"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77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24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477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按照市创建第七届全国文明城市总指挥部安排部署，需清理城市“牛皮癣”、拆除违规广告牌。</w:t>
            </w:r>
          </w:p>
        </w:tc>
        <w:tc>
          <w:tcPr>
            <w:tcW w:w="424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以全国文明城市创建、“街长制”实施为抓手，大力开展城市环境卫生秩序综合治理和队伍纪律作风建设，城市容貌不断更新。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5"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90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为保证该项目实施，广元市创建第七届全国文明城市和谐宜居的生活环境分指挥部办公室印发《城市“牛皮癣”清理整治工作方案》、《城市公共厕所专项整治提升方案》、《背街小巷专项整治实施方案》，广元市城市管理行政执法支队印发《户外广告和招牌设施安全专项整治行动方案》的通知（广城管支〔2022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40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37.40</w:t>
            </w:r>
          </w:p>
        </w:tc>
        <w:tc>
          <w:tcPr>
            <w:tcW w:w="240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37.40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37.40</w:t>
            </w:r>
          </w:p>
        </w:tc>
        <w:tc>
          <w:tcPr>
            <w:tcW w:w="240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37.40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40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40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40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nil"/>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拆除大型户外广告</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151</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块</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经济成本指标</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创文期间拆除遮阳棚、机械使用费及拆除户外广告劳务费</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37.4</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37.4万元</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群众素质</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生态效益指标</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文明、有序的生活环境</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城市市容市貌进一步提升</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群众对创文工作</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371"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99</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jc w:val="center"/>
        </w:trPr>
        <w:tc>
          <w:tcPr>
            <w:tcW w:w="168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0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是印发市容环境规范整治行动等实施方案，牵头召开分指挥部成员单位会议。二是制定背街小巷整治、公共厕所改造提升、小广告清理3项重难点工作专项方案，分批整治背街小巷，规整空中飞线，指导交通运输部门开展文明驾驶等专项整治。三是成立3个督导组，适时开展督导检查，通过现场交办、一对一提示等方式，推动工作落地落实。印发工作简报、通报8期，督促整改市容秩序、小广告清理等方面问题。截止2022年12月31日，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68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0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城市的不文明现象依然存在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68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0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加强宣传，部门联动，共建、共治、共享。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68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0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93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单位项目负责人：王凌云</w:t>
            </w:r>
          </w:p>
        </w:tc>
        <w:tc>
          <w:tcPr>
            <w:tcW w:w="5770"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93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5770"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701"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财政部门科室负责人：李静</w:t>
            </w:r>
          </w:p>
        </w:tc>
      </w:tr>
    </w:tbl>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tbl>
      <w:tblPr>
        <w:tblStyle w:val="11"/>
        <w:tblW w:w="10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3"/>
        <w:gridCol w:w="681"/>
        <w:gridCol w:w="497"/>
        <w:gridCol w:w="892"/>
        <w:gridCol w:w="1058"/>
        <w:gridCol w:w="660"/>
        <w:gridCol w:w="945"/>
        <w:gridCol w:w="690"/>
        <w:gridCol w:w="900"/>
        <w:gridCol w:w="690"/>
        <w:gridCol w:w="795"/>
        <w:gridCol w:w="1140"/>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0793" w:type="dxa"/>
            <w:gridSpan w:val="13"/>
            <w:tcBorders>
              <w:top w:val="nil"/>
              <w:left w:val="nil"/>
              <w:bottom w:val="nil"/>
              <w:right w:val="nil"/>
            </w:tcBorders>
            <w:vAlign w:val="center"/>
          </w:tcPr>
          <w:p>
            <w:pPr>
              <w:widowControl/>
              <w:shd w:val="clear" w:color="040000" w:fill="auto"/>
              <w:ind w:left="0" w:leftChars="0" w:right="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16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w:t>
            </w:r>
          </w:p>
        </w:tc>
        <w:tc>
          <w:tcPr>
            <w:tcW w:w="863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第十四批引进高层次人才安家补助和工作补助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216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24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48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广元市生活垃圾分类中心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117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24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38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424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完成单位引进的1名高层次人才安家补助8万元和2022年度工作补助0.3万元的发放</w:t>
            </w:r>
          </w:p>
        </w:tc>
        <w:tc>
          <w:tcPr>
            <w:tcW w:w="438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严格按照要求和时间，发放到位，资金无结余。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863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根据《广元市财政局关于下达市级财政专项资金的通知》（广财社〔2023〕180号）要求，按时发放高层次人才安家补助和工作补助，严格按照项目资金管理相关规定，全部用于该项目支出，无被截留、挤占、挪用现象，截止2022年12月末，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w:t>
            </w:r>
          </w:p>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（10分）</w:t>
            </w: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0</w:t>
            </w: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8.30</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8.30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0</w:t>
            </w: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8.30</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8.30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引进人才数量</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定量</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人</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1人</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40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成本指标</w:t>
            </w: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控制在预算内</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定量</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8.3</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8.3万元</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全市提升生活垃圾分类水平</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105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用人单位满意度</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306"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166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9129"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整个项目目标任务全面完成、资金管理规范，项目的实施，使市生活垃圾分类中心增加业务骨干1名，利于提高工作效率，助力生活垃圾分类工作提质增效。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166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9129"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166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9129"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jc w:val="center"/>
        </w:trPr>
        <w:tc>
          <w:tcPr>
            <w:tcW w:w="166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9129"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ind w:left="0" w:leftChars="0" w:right="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4771"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单位项目负责人：张东</w:t>
            </w:r>
          </w:p>
        </w:tc>
        <w:tc>
          <w:tcPr>
            <w:tcW w:w="6022"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单位财务负责人：何冬梅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4771"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6022"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793"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left"/>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财政部门科室负责人：邓毅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0793" w:type="dxa"/>
            <w:gridSpan w:val="13"/>
            <w:tcBorders>
              <w:top w:val="nil"/>
              <w:left w:val="nil"/>
              <w:bottom w:val="nil"/>
              <w:right w:val="nil"/>
            </w:tcBorders>
            <w:vAlign w:val="center"/>
          </w:tcPr>
          <w:p>
            <w:pPr>
              <w:shd w:val="clear" w:color="000000" w:fill="auto"/>
              <w:ind w:left="0" w:leftChars="0" w:right="0" w:firstLine="0" w:firstLineChars="0"/>
              <w:jc w:val="center"/>
              <w:rPr>
                <w:rFonts w:hint="eastAsia" w:ascii="宋体" w:hAnsi="宋体" w:eastAsia="宋体" w:cs="宋体"/>
                <w:i w:val="0"/>
                <w:iCs w:val="0"/>
                <w:color w:val="auto"/>
                <w:sz w:val="18"/>
                <w:szCs w:val="18"/>
                <w:highlight w:val="none"/>
                <w:u w:val="none"/>
              </w:rPr>
            </w:pPr>
          </w:p>
        </w:tc>
      </w:tr>
    </w:tbl>
    <w:p>
      <w:pPr>
        <w:pStyle w:val="6"/>
        <w:shd w:val="clear" w:color="010000" w:fill="auto"/>
        <w:ind w:left="0" w:leftChars="0" w:right="0" w:firstLine="0" w:firstLineChars="0"/>
        <w:jc w:val="center"/>
        <w:rPr>
          <w:rFonts w:hint="eastAsia"/>
          <w:color w:val="auto"/>
          <w:highlight w:val="none"/>
          <w:lang w:val="zh-CN"/>
        </w:rPr>
      </w:pPr>
    </w:p>
    <w:p>
      <w:pPr>
        <w:pStyle w:val="6"/>
        <w:shd w:val="clear" w:color="010000" w:fill="auto"/>
        <w:ind w:left="0" w:leftChars="0" w:right="0" w:firstLine="0" w:firstLineChars="0"/>
        <w:jc w:val="center"/>
        <w:rPr>
          <w:rFonts w:hint="eastAsia"/>
          <w:color w:val="auto"/>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color="000000" w:fill="auto"/>
        <w:spacing w:beforeLines="0" w:afterLines="0"/>
        <w:jc w:val="both"/>
        <w:outlineLvl w:val="1"/>
        <w:rPr>
          <w:rFonts w:hint="eastAsia" w:ascii="方正黑体简体" w:hAnsi="方正黑体简体" w:eastAsia="方正黑体简体" w:cs="方正黑体简体"/>
          <w:color w:val="auto"/>
          <w:sz w:val="32"/>
          <w:szCs w:val="24"/>
          <w:highlight w:val="none"/>
          <w:lang w:val="en-US"/>
        </w:rPr>
      </w:pPr>
      <w:bookmarkStart w:id="22" w:name="_Toc10023"/>
      <w:r>
        <w:rPr>
          <w:rFonts w:hint="eastAsia" w:ascii="方正黑体简体" w:hAnsi="方正黑体简体" w:eastAsia="方正黑体简体" w:cs="方正黑体简体"/>
          <w:color w:val="auto"/>
          <w:sz w:val="32"/>
          <w:szCs w:val="24"/>
          <w:highlight w:val="none"/>
          <w:lang w:val="zh-CN"/>
        </w:rPr>
        <w:t>附件</w:t>
      </w:r>
      <w:r>
        <w:rPr>
          <w:rFonts w:hint="eastAsia" w:ascii="方正黑体简体" w:hAnsi="方正黑体简体" w:eastAsia="方正黑体简体" w:cs="方正黑体简体"/>
          <w:color w:val="auto"/>
          <w:sz w:val="32"/>
          <w:szCs w:val="24"/>
          <w:highlight w:val="none"/>
          <w:lang w:val="en-US"/>
        </w:rPr>
        <w:t>2</w:t>
      </w:r>
      <w:bookmarkEnd w:id="22"/>
    </w:p>
    <w:p>
      <w:pPr>
        <w:pStyle w:val="13"/>
        <w:widowControl w:val="0"/>
        <w:shd w:val="clear" w:color="050000" w:fill="auto"/>
        <w:wordWrap/>
        <w:adjustRightInd/>
        <w:snapToGrid/>
        <w:spacing w:line="700"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基本公共卫生服务中央补助资金项目支出绩效自评报告</w:t>
      </w:r>
    </w:p>
    <w:p>
      <w:pPr>
        <w:widowControl w:val="0"/>
        <w:shd w:val="clear" w:color="040000" w:fill="auto"/>
        <w:wordWrap/>
        <w:adjustRightInd/>
        <w:snapToGrid/>
        <w:spacing w:line="576" w:lineRule="exact"/>
        <w:ind w:firstLine="643" w:firstLineChars="200"/>
        <w:textAlignment w:val="auto"/>
        <w:rPr>
          <w:rFonts w:hint="eastAsia" w:ascii="仿宋_GB2312" w:hAnsi="仿宋_GB2312" w:eastAsia="仿宋_GB2312" w:cs="仿宋_GB2312"/>
          <w:b/>
          <w:bCs/>
          <w:color w:val="auto"/>
          <w:sz w:val="32"/>
          <w:szCs w:val="32"/>
          <w:highlight w:val="none"/>
        </w:rPr>
      </w:pPr>
    </w:p>
    <w:p>
      <w:pPr>
        <w:widowControl w:val="0"/>
        <w:shd w:val="clear" w:color="040000" w:fill="auto"/>
        <w:wordWrap/>
        <w:adjustRightInd/>
        <w:snapToGrid/>
        <w:spacing w:line="576" w:lineRule="exact"/>
        <w:ind w:left="0" w:leftChars="0"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23" w:name="_Toc3236"/>
      <w:r>
        <w:rPr>
          <w:rFonts w:hint="eastAsia" w:ascii="方正黑体简体" w:hAnsi="方正黑体简体" w:eastAsia="方正黑体简体" w:cs="方正黑体简体"/>
          <w:color w:val="auto"/>
          <w:sz w:val="32"/>
          <w:szCs w:val="32"/>
          <w:highlight w:val="none"/>
        </w:rPr>
        <w:t>一、项目概况</w:t>
      </w:r>
      <w:bookmarkEnd w:id="23"/>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（一）项目基本情况</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为维护社会健康发展，2022年7月财政下达资金6万元。</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根据广元市机构编制委员会《关于成立广元市城市管理局等有关事项的通知》（广编发〔2010〕70号）、广元市人民政府办公室《关于印发广元市城市管理行政执法局主要职责内设机构和人员编制规定的通知》（广府办法〔2011〕81号），该项目主要用于爱国卫生检查、病媒生物防制监测及城市管理等工作。</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 广爱卫办印发《2022年病媒生物防制工作实施方案》〔2022〕2号、《2022年爱国卫生工作要点》，广城乡治办印发《深入推进城乡环境综合治理建设中国最干净城市实施方案》〔2022〕5号及《2022年城乡环境综合治理工作要点》等。</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（二）项目绩效目标</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在城区开展爱国卫生检查和病媒生物防制监测评估等公共卫生服务工作，坚持整治与防治相结合，维护经济社会健康发展，保障人民群众身体健康。</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（三）项目自评步骤及方法</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本项目绩效评价主要采用比较法、因数分析法，参照项目支出绩效目标，围绕项目内容、实施情况、项目完成、财务管理、社会效益、满意度等开展自我评价。</w:t>
      </w:r>
      <w:r>
        <w:rPr>
          <w:rFonts w:hint="eastAsia" w:ascii="仿宋_GB2312" w:hAnsi="仿宋_GB2312" w:eastAsia="仿宋_GB2312" w:cs="仿宋_GB2312"/>
          <w:color w:val="auto"/>
          <w:sz w:val="32"/>
          <w:szCs w:val="32"/>
          <w:highlight w:val="none"/>
          <w:lang w:val="en-US" w:eastAsia="zh-CN"/>
        </w:rPr>
        <w:t>一是核查支付凭证等记录，核实资金是否用于该项目；二是对2022年爱国卫生工作、城乡环境综合治理等完成情况进行梳理评价，组织相关业务科室，听取工作目标完成情况，查看数据资料。</w:t>
      </w:r>
    </w:p>
    <w:p>
      <w:pPr>
        <w:widowControl w:val="0"/>
        <w:shd w:val="clear" w:color="040000" w:fill="auto"/>
        <w:wordWrap/>
        <w:adjustRightInd/>
        <w:snapToGrid/>
        <w:spacing w:line="576" w:lineRule="exact"/>
        <w:ind w:left="0" w:leftChars="0"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24" w:name="_Toc414"/>
      <w:r>
        <w:rPr>
          <w:rFonts w:hint="eastAsia" w:ascii="方正黑体简体" w:hAnsi="方正黑体简体" w:eastAsia="方正黑体简体" w:cs="方正黑体简体"/>
          <w:color w:val="auto"/>
          <w:sz w:val="32"/>
          <w:szCs w:val="32"/>
          <w:highlight w:val="none"/>
        </w:rPr>
        <w:t>二、项目资金申报及使用情况</w:t>
      </w:r>
      <w:bookmarkEnd w:id="24"/>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（一）项目资金申报及批复情况</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根据工作需要，编报《预算项目支出绩效目标申报表》，在财政一体化平台申请、编制项目经费，经批准后，市财政局于2022年7月下达项目经费预算6万元。</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（二）资金计划、到位及使用情况</w:t>
      </w:r>
    </w:p>
    <w:p>
      <w:pPr>
        <w:widowControl w:val="0"/>
        <w:shd w:val="clear" w:color="040000" w:fill="auto"/>
        <w:wordWrap/>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 xml:space="preserve">1. </w:t>
      </w:r>
      <w:r>
        <w:rPr>
          <w:rFonts w:hint="eastAsia" w:ascii="仿宋_GB2312" w:hAnsi="仿宋_GB2312" w:eastAsia="仿宋_GB2312" w:cs="仿宋_GB2312"/>
          <w:color w:val="auto"/>
          <w:sz w:val="32"/>
          <w:szCs w:val="32"/>
          <w:highlight w:val="none"/>
          <w:lang w:val="en-US" w:eastAsia="zh-CN"/>
        </w:rPr>
        <w:t>市财政局于2022年7月拨付6万元，项目资金全部到位。</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 xml:space="preserve">2. </w:t>
      </w:r>
      <w:r>
        <w:rPr>
          <w:rFonts w:hint="eastAsia" w:ascii="仿宋_GB2312" w:hAnsi="仿宋_GB2312" w:eastAsia="仿宋_GB2312" w:cs="仿宋_GB2312"/>
          <w:color w:val="auto"/>
          <w:sz w:val="32"/>
          <w:szCs w:val="32"/>
          <w:highlight w:val="none"/>
          <w:lang w:val="en-US" w:eastAsia="zh-CN"/>
        </w:rPr>
        <w:t>严格落实预算执行有关程序，按照项目资金管理相关规定，全部用于项目支出，无截留、挤占、挪用现象；项目预算执行真实发生，无虚列支出的现象。</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（三）项目财务管理情况</w:t>
      </w:r>
    </w:p>
    <w:p>
      <w:pPr>
        <w:widowControl w:val="0"/>
        <w:shd w:val="clear" w:color="040000" w:fill="auto"/>
        <w:wordWrap/>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会计机构健全，会计人员岗位分工明确，内部财务管理制度完善，会计核算准确，档案管理规范。项目资金坚持专款专用，量入为出的原则，各项专用资金严格实行申报计划审批后由市财政支付中心统一集中支付，达到预期目的。</w:t>
      </w:r>
    </w:p>
    <w:p>
      <w:pPr>
        <w:widowControl w:val="0"/>
        <w:shd w:val="clear" w:color="040000" w:fill="auto"/>
        <w:wordWrap/>
        <w:adjustRightInd/>
        <w:snapToGrid/>
        <w:spacing w:line="576" w:lineRule="exact"/>
        <w:ind w:left="0" w:leftChars="0"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25" w:name="_Toc8530"/>
      <w:r>
        <w:rPr>
          <w:rFonts w:hint="eastAsia" w:ascii="方正黑体简体" w:hAnsi="方正黑体简体" w:eastAsia="方正黑体简体" w:cs="方正黑体简体"/>
          <w:color w:val="auto"/>
          <w:sz w:val="32"/>
          <w:szCs w:val="32"/>
          <w:highlight w:val="none"/>
        </w:rPr>
        <w:t>三、项目实施及管理情况</w:t>
      </w:r>
      <w:bookmarkEnd w:id="25"/>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（一）项目组织架构及实施流程</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为保证该项目实施，以全国文明城市创建、爱国卫生检查和病媒生物防制实施为抓手，深入开展城乡环境综合治理、铁路沿线环境综合治理等运动，稳步</w:t>
      </w:r>
      <w:r>
        <w:rPr>
          <w:rFonts w:hint="eastAsia" w:ascii="仿宋_GB2312" w:hAnsi="仿宋_GB2312" w:eastAsia="仿宋_GB2312" w:cs="仿宋_GB2312"/>
          <w:color w:val="auto"/>
          <w:sz w:val="32"/>
          <w:szCs w:val="32"/>
          <w:highlight w:val="none"/>
          <w:lang w:val="en-US"/>
        </w:rPr>
        <w:t>推进</w:t>
      </w:r>
      <w:r>
        <w:rPr>
          <w:rFonts w:hint="eastAsia" w:ascii="仿宋_GB2312" w:hAnsi="仿宋_GB2312" w:eastAsia="仿宋_GB2312" w:cs="仿宋_GB2312"/>
          <w:color w:val="auto"/>
          <w:sz w:val="32"/>
          <w:szCs w:val="32"/>
          <w:highlight w:val="none"/>
          <w:lang w:val="en-US" w:eastAsia="zh-CN"/>
        </w:rPr>
        <w:t>中国最干净城市建设，重要事项</w:t>
      </w:r>
      <w:r>
        <w:rPr>
          <w:rFonts w:hint="eastAsia" w:ascii="仿宋_GB2312" w:hAnsi="仿宋_GB2312" w:eastAsia="仿宋_GB2312" w:cs="仿宋_GB2312"/>
          <w:color w:val="auto"/>
          <w:sz w:val="32"/>
          <w:szCs w:val="32"/>
          <w:highlight w:val="none"/>
          <w:lang w:val="zh-CN" w:eastAsia="zh-CN"/>
        </w:rPr>
        <w:t>纳入“三重一大”范围，提交党组会审定。</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（二）项目监督管理情况</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项目在实施过程中严格按照项目管理有关规定</w:t>
      </w:r>
      <w:r>
        <w:rPr>
          <w:rFonts w:hint="eastAsia" w:ascii="仿宋_GB2312" w:hAnsi="仿宋_GB2312" w:eastAsia="仿宋_GB2312" w:cs="仿宋_GB2312"/>
          <w:color w:val="auto"/>
          <w:sz w:val="32"/>
          <w:szCs w:val="32"/>
          <w:highlight w:val="none"/>
          <w:lang w:val="en-US" w:eastAsia="zh-CN"/>
        </w:rPr>
        <w:t>加强</w:t>
      </w:r>
      <w:r>
        <w:rPr>
          <w:rFonts w:hint="eastAsia" w:ascii="仿宋_GB2312" w:hAnsi="仿宋_GB2312" w:eastAsia="仿宋_GB2312" w:cs="仿宋_GB2312"/>
          <w:color w:val="auto"/>
          <w:sz w:val="32"/>
          <w:szCs w:val="32"/>
          <w:highlight w:val="none"/>
          <w:lang w:val="zh-CN" w:eastAsia="zh-CN"/>
        </w:rPr>
        <w:t>对项目经费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zh-CN" w:eastAsia="zh-CN"/>
        </w:rPr>
        <w:t>管理，在支付经费前对项目实施效果进行评估。重要环节进行专题研究，</w:t>
      </w:r>
      <w:r>
        <w:rPr>
          <w:rFonts w:hint="eastAsia" w:ascii="仿宋_GB2312" w:hAnsi="仿宋_GB2312" w:eastAsia="仿宋_GB2312" w:cs="仿宋_GB2312"/>
          <w:color w:val="auto"/>
          <w:sz w:val="32"/>
          <w:szCs w:val="32"/>
          <w:highlight w:val="none"/>
          <w:lang w:val="en-US" w:eastAsia="zh-CN"/>
        </w:rPr>
        <w:t>全程</w:t>
      </w:r>
      <w:r>
        <w:rPr>
          <w:rFonts w:hint="eastAsia" w:ascii="仿宋_GB2312" w:hAnsi="仿宋_GB2312" w:eastAsia="仿宋_GB2312" w:cs="仿宋_GB2312"/>
          <w:color w:val="auto"/>
          <w:sz w:val="32"/>
          <w:szCs w:val="32"/>
          <w:highlight w:val="none"/>
          <w:lang w:val="zh-CN" w:eastAsia="zh-CN"/>
        </w:rPr>
        <w:t>接受纪委、</w:t>
      </w:r>
      <w:r>
        <w:rPr>
          <w:rFonts w:hint="eastAsia" w:ascii="仿宋_GB2312" w:hAnsi="仿宋_GB2312" w:eastAsia="仿宋_GB2312" w:cs="仿宋_GB2312"/>
          <w:color w:val="auto"/>
          <w:sz w:val="32"/>
          <w:szCs w:val="32"/>
          <w:highlight w:val="none"/>
          <w:lang w:val="en-US" w:eastAsia="zh-CN"/>
        </w:rPr>
        <w:t>审计</w:t>
      </w:r>
      <w:r>
        <w:rPr>
          <w:rFonts w:hint="eastAsia" w:ascii="仿宋_GB2312" w:hAnsi="仿宋_GB2312" w:eastAsia="仿宋_GB2312" w:cs="仿宋_GB2312"/>
          <w:color w:val="auto"/>
          <w:sz w:val="32"/>
          <w:szCs w:val="32"/>
          <w:highlight w:val="none"/>
          <w:lang w:val="zh-CN" w:eastAsia="zh-CN"/>
        </w:rPr>
        <w:t>部门监督检查，对预算执行实行动态监控，无违纪违法现象。</w:t>
      </w:r>
    </w:p>
    <w:p>
      <w:pPr>
        <w:widowControl w:val="0"/>
        <w:shd w:val="clear" w:color="040000" w:fill="auto"/>
        <w:wordWrap/>
        <w:adjustRightInd/>
        <w:snapToGrid/>
        <w:spacing w:line="576" w:lineRule="exact"/>
        <w:ind w:left="0" w:leftChars="0"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26" w:name="_Toc14717"/>
      <w:r>
        <w:rPr>
          <w:rFonts w:hint="eastAsia" w:ascii="方正黑体简体" w:hAnsi="方正黑体简体" w:eastAsia="方正黑体简体" w:cs="方正黑体简体"/>
          <w:color w:val="auto"/>
          <w:sz w:val="32"/>
          <w:szCs w:val="32"/>
          <w:highlight w:val="none"/>
        </w:rPr>
        <w:t>四、项目绩效情况</w:t>
      </w:r>
      <w:bookmarkEnd w:id="26"/>
      <w:r>
        <w:rPr>
          <w:rFonts w:hint="eastAsia" w:ascii="方正黑体简体" w:hAnsi="方正黑体简体" w:eastAsia="方正黑体简体" w:cs="方正黑体简体"/>
          <w:color w:val="auto"/>
          <w:sz w:val="32"/>
          <w:szCs w:val="32"/>
          <w:highlight w:val="none"/>
        </w:rPr>
        <w:tab/>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（一）项目完成情况</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截止2022年12月31日，项目指标全面完成，项目社会效益、可持续发展效益明显</w:t>
      </w:r>
      <w:r>
        <w:rPr>
          <w:rFonts w:hint="eastAsia" w:ascii="仿宋_GB2312" w:hAnsi="仿宋_GB2312" w:eastAsia="仿宋_GB2312" w:cs="仿宋_GB2312"/>
          <w:color w:val="auto"/>
          <w:sz w:val="32"/>
          <w:szCs w:val="32"/>
          <w:highlight w:val="none"/>
          <w:lang w:val="en-US" w:eastAsia="zh-CN"/>
        </w:rPr>
        <w:t>：</w:t>
      </w:r>
    </w:p>
    <w:p>
      <w:pPr>
        <w:widowControl w:val="0"/>
        <w:shd w:val="clear" w:color="040000" w:fill="auto"/>
        <w:wordWrap/>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 xml:space="preserve"> 广泛开展爱国卫生运动。一是印发《2022年爱国卫生工作要点》，对全年爱国卫生工作进行安排部署。二是积极开展纪念爱国卫生运动和爱国卫生月系列活动，</w:t>
      </w:r>
      <w:r>
        <w:rPr>
          <w:rFonts w:hint="default" w:ascii="仿宋_GB2312" w:hAnsi="仿宋_GB2312" w:eastAsia="仿宋_GB2312" w:cs="仿宋_GB2312"/>
          <w:color w:val="auto"/>
          <w:sz w:val="32"/>
          <w:szCs w:val="32"/>
          <w:highlight w:val="none"/>
          <w:lang w:val="en-US" w:eastAsia="zh-CN"/>
        </w:rPr>
        <w:t>采取多种形式广泛宣传爱国卫生运动以及卫生健康、疾病防控知识</w:t>
      </w:r>
      <w:r>
        <w:rPr>
          <w:rFonts w:hint="eastAsia" w:ascii="仿宋_GB2312" w:hAnsi="仿宋_GB2312" w:eastAsia="仿宋_GB2312" w:cs="仿宋_GB2312"/>
          <w:color w:val="auto"/>
          <w:sz w:val="32"/>
          <w:szCs w:val="32"/>
          <w:highlight w:val="none"/>
          <w:lang w:val="en-US" w:eastAsia="zh-CN"/>
        </w:rPr>
        <w:t>，制作张贴宣传标语、宣传专栏2500余处，组织宣传、义诊活动30余场，发放资料11.2万余份，参与群众4.7万余人次。我市1人被全国爱卫会授予“爱国卫生运动70周年先进个人”荣誉称号。三是持续开展卫生城镇创建，指导苍溪县、旺苍县和剑阁县张王镇、朝天区中子镇、两河口镇继续开展国卫县城（乡镇）创建工作，旺苍县顺利通过省级卫生县城复审，青川县建峰镇等7个乡镇、利州区嘉陵街道新塘村等57个村成功通过市级评估验收。四是爱国卫生活动广泛开展，精心组织“环境大整治·喜迎二十大”、“环境卫生大整治·干干净净迎双节”、周末卫生大扫除等系列活动，重点对城乡结合部、公铁路沿线、江河沿岸、旅游景点、背街小巷等进行环境卫生综合治理，清除卫生死角7100余处、“牛皮癣”2300余处，疏通沟渠2万余米，清理积存垃圾、建渣、淤泥3000余吨。五是会同除四害技术指导站，组织干部群众采取“一封二填三疏四排五清”等措施，治理病媒生物孳生地，“四害”密度控制在国家规定标准之内，旺苍县、剑阁县通过病媒生物防制达标市级考核</w:t>
      </w:r>
      <w:r>
        <w:rPr>
          <w:rFonts w:hint="default" w:ascii="仿宋_GB2312" w:hAnsi="仿宋_GB2312" w:eastAsia="仿宋_GB2312" w:cs="仿宋_GB2312"/>
          <w:color w:val="auto"/>
          <w:sz w:val="32"/>
          <w:szCs w:val="32"/>
          <w:highlight w:val="none"/>
          <w:lang w:val="en-US" w:eastAsia="zh-CN"/>
        </w:rPr>
        <w:t>。</w:t>
      </w:r>
    </w:p>
    <w:p>
      <w:pPr>
        <w:widowControl w:val="0"/>
        <w:shd w:val="clear" w:color="040000" w:fill="auto"/>
        <w:wordWrap/>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深入推进城乡环境综合治理。</w:t>
      </w:r>
      <w:r>
        <w:rPr>
          <w:rFonts w:hint="eastAsia" w:ascii="仿宋_GB2312" w:hAnsi="仿宋_GB2312" w:eastAsia="仿宋_GB2312" w:cs="仿宋_GB2312"/>
          <w:color w:val="auto"/>
          <w:sz w:val="32"/>
          <w:szCs w:val="32"/>
          <w:highlight w:val="none"/>
          <w:lang w:val="en-US"/>
        </w:rPr>
        <w:t>一是注重统筹安排。</w:t>
      </w:r>
      <w:r>
        <w:rPr>
          <w:rFonts w:hint="eastAsia" w:ascii="仿宋_GB2312" w:hAnsi="仿宋_GB2312" w:eastAsia="仿宋_GB2312" w:cs="仿宋_GB2312"/>
          <w:color w:val="auto"/>
          <w:sz w:val="32"/>
          <w:szCs w:val="32"/>
          <w:highlight w:val="none"/>
          <w:lang w:val="en-US" w:eastAsia="zh-CN"/>
        </w:rPr>
        <w:t>召开全市城乡环境综合治理工作会，印发《2022年城乡环境综合治理工作要点》，安排部署全年工作。</w:t>
      </w:r>
      <w:r>
        <w:rPr>
          <w:rFonts w:hint="eastAsia" w:ascii="仿宋_GB2312" w:hAnsi="仿宋_GB2312" w:eastAsia="仿宋_GB2312" w:cs="仿宋_GB2312"/>
          <w:color w:val="auto"/>
          <w:sz w:val="32"/>
          <w:szCs w:val="32"/>
          <w:highlight w:val="none"/>
          <w:lang w:val="en-US"/>
        </w:rPr>
        <w:t>二</w:t>
      </w:r>
      <w:r>
        <w:rPr>
          <w:rFonts w:hint="eastAsia" w:ascii="仿宋_GB2312" w:hAnsi="仿宋_GB2312" w:eastAsia="仿宋_GB2312" w:cs="仿宋_GB2312"/>
          <w:color w:val="auto"/>
          <w:sz w:val="32"/>
          <w:szCs w:val="32"/>
          <w:highlight w:val="none"/>
          <w:lang w:val="en-US" w:eastAsia="zh-CN"/>
        </w:rPr>
        <w:t>是</w:t>
      </w:r>
      <w:r>
        <w:rPr>
          <w:rFonts w:hint="eastAsia" w:ascii="仿宋_GB2312" w:hAnsi="仿宋_GB2312" w:eastAsia="仿宋_GB2312" w:cs="仿宋_GB2312"/>
          <w:color w:val="auto"/>
          <w:sz w:val="32"/>
          <w:szCs w:val="32"/>
          <w:highlight w:val="none"/>
          <w:lang w:val="en-US"/>
        </w:rPr>
        <w:t>做实项目工作。加大项目优化力度，</w:t>
      </w:r>
      <w:r>
        <w:rPr>
          <w:rFonts w:hint="eastAsia" w:ascii="仿宋_GB2312" w:hAnsi="仿宋_GB2312" w:eastAsia="仿宋_GB2312" w:cs="仿宋_GB2312"/>
          <w:color w:val="auto"/>
          <w:sz w:val="32"/>
          <w:szCs w:val="32"/>
          <w:highlight w:val="none"/>
          <w:lang w:val="en-US" w:eastAsia="zh-CN"/>
        </w:rPr>
        <w:t>督促指导各县区对城乡生活垃圾处理设施建设三年推进项目进行了部分调整。</w:t>
      </w:r>
      <w:r>
        <w:rPr>
          <w:rFonts w:hint="eastAsia" w:ascii="仿宋_GB2312" w:hAnsi="仿宋_GB2312" w:eastAsia="仿宋_GB2312" w:cs="仿宋_GB2312"/>
          <w:color w:val="auto"/>
          <w:sz w:val="32"/>
          <w:szCs w:val="32"/>
          <w:highlight w:val="none"/>
          <w:lang w:val="en-US"/>
        </w:rPr>
        <w:t>加快项目推进，</w:t>
      </w:r>
      <w:r>
        <w:rPr>
          <w:rFonts w:hint="eastAsia" w:ascii="仿宋_GB2312" w:hAnsi="仿宋_GB2312" w:eastAsia="仿宋_GB2312" w:cs="仿宋_GB2312"/>
          <w:color w:val="auto"/>
          <w:sz w:val="32"/>
          <w:szCs w:val="32"/>
          <w:highlight w:val="none"/>
          <w:lang w:val="en-US" w:eastAsia="zh-CN"/>
        </w:rPr>
        <w:t>织召开项目会议5次，印发工作通报2期、提醒函5份，开展项目调度12期，现场督导县区6次，完成项目洽谈4次。同时，强化资金监管，督促县区、相关部门严控使用范围。三是抓好涉疫垃圾收运处置。</w:t>
      </w:r>
      <w:r>
        <w:rPr>
          <w:rFonts w:hint="eastAsia" w:ascii="仿宋_GB2312" w:hAnsi="仿宋_GB2312" w:eastAsia="仿宋_GB2312" w:cs="仿宋_GB2312"/>
          <w:color w:val="auto"/>
          <w:sz w:val="32"/>
          <w:szCs w:val="32"/>
          <w:highlight w:val="none"/>
          <w:lang w:val="en-US"/>
        </w:rPr>
        <w:t>四是</w:t>
      </w:r>
      <w:r>
        <w:rPr>
          <w:rFonts w:hint="eastAsia" w:ascii="仿宋_GB2312" w:hAnsi="仿宋_GB2312" w:eastAsia="仿宋_GB2312" w:cs="仿宋_GB2312"/>
          <w:color w:val="auto"/>
          <w:sz w:val="32"/>
          <w:szCs w:val="32"/>
          <w:highlight w:val="none"/>
          <w:lang w:val="en-US" w:eastAsia="zh-CN"/>
        </w:rPr>
        <w:t>持续抓好森林防灭火及秸秆禁烧。</w:t>
      </w:r>
      <w:r>
        <w:rPr>
          <w:rFonts w:hint="eastAsia" w:ascii="仿宋_GB2312" w:hAnsi="仿宋_GB2312" w:eastAsia="仿宋_GB2312" w:cs="仿宋_GB2312"/>
          <w:color w:val="auto"/>
          <w:sz w:val="32"/>
          <w:szCs w:val="32"/>
          <w:highlight w:val="none"/>
          <w:lang w:val="en-US"/>
        </w:rPr>
        <w:t>积</w:t>
      </w:r>
      <w:r>
        <w:rPr>
          <w:rFonts w:hint="eastAsia" w:ascii="仿宋_GB2312" w:hAnsi="仿宋_GB2312" w:eastAsia="仿宋_GB2312" w:cs="仿宋_GB2312"/>
          <w:color w:val="auto"/>
          <w:sz w:val="32"/>
          <w:szCs w:val="32"/>
          <w:highlight w:val="none"/>
          <w:lang w:val="en-US" w:eastAsia="zh-CN"/>
        </w:rPr>
        <w:t>极配合市公安局，</w:t>
      </w:r>
      <w:r>
        <w:rPr>
          <w:rFonts w:hint="default" w:ascii="仿宋_GB2312" w:hAnsi="仿宋_GB2312" w:eastAsia="仿宋_GB2312" w:cs="仿宋_GB2312"/>
          <w:color w:val="auto"/>
          <w:sz w:val="32"/>
          <w:szCs w:val="32"/>
          <w:highlight w:val="none"/>
          <w:lang w:val="en-US" w:eastAsia="zh-CN"/>
        </w:rPr>
        <w:t>深入</w:t>
      </w:r>
      <w:r>
        <w:rPr>
          <w:rFonts w:hint="eastAsia" w:ascii="仿宋_GB2312" w:hAnsi="仿宋_GB2312" w:eastAsia="仿宋_GB2312" w:cs="仿宋_GB2312"/>
          <w:color w:val="auto"/>
          <w:sz w:val="32"/>
          <w:szCs w:val="32"/>
          <w:highlight w:val="none"/>
          <w:lang w:val="en-US" w:eastAsia="zh-CN"/>
        </w:rPr>
        <w:t>联系县区青川县</w:t>
      </w:r>
      <w:r>
        <w:rPr>
          <w:rFonts w:hint="default" w:ascii="仿宋_GB2312" w:hAnsi="仿宋_GB2312" w:eastAsia="仿宋_GB2312" w:cs="仿宋_GB2312"/>
          <w:color w:val="auto"/>
          <w:sz w:val="32"/>
          <w:szCs w:val="32"/>
          <w:highlight w:val="none"/>
          <w:lang w:val="en-US" w:eastAsia="zh-CN"/>
        </w:rPr>
        <w:t>督查</w:t>
      </w:r>
      <w:r>
        <w:rPr>
          <w:rFonts w:hint="eastAsia" w:ascii="仿宋_GB2312" w:hAnsi="仿宋_GB2312" w:eastAsia="仿宋_GB2312" w:cs="仿宋_GB2312"/>
          <w:color w:val="auto"/>
          <w:sz w:val="32"/>
          <w:szCs w:val="32"/>
          <w:highlight w:val="none"/>
          <w:lang w:val="en-US" w:eastAsia="zh-CN"/>
        </w:rPr>
        <w:t>森林防灭火工作</w:t>
      </w:r>
      <w:r>
        <w:rPr>
          <w:rFonts w:hint="eastAsia" w:ascii="仿宋_GB2312" w:hAnsi="仿宋_GB2312" w:eastAsia="仿宋_GB2312" w:cs="仿宋_GB2312"/>
          <w:color w:val="auto"/>
          <w:sz w:val="32"/>
          <w:szCs w:val="32"/>
          <w:highlight w:val="none"/>
          <w:lang w:val="en-US"/>
        </w:rPr>
        <w:t>，</w:t>
      </w:r>
      <w:r>
        <w:rPr>
          <w:rFonts w:hint="default" w:ascii="仿宋_GB2312" w:hAnsi="仿宋_GB2312" w:eastAsia="仿宋_GB2312" w:cs="仿宋_GB2312"/>
          <w:color w:val="auto"/>
          <w:sz w:val="32"/>
          <w:szCs w:val="32"/>
          <w:highlight w:val="none"/>
          <w:lang w:val="en-US" w:eastAsia="zh-CN"/>
        </w:rPr>
        <w:t>进村入户、深入卡口、现场走访，</w:t>
      </w:r>
      <w:r>
        <w:rPr>
          <w:rFonts w:hint="eastAsia" w:ascii="仿宋_GB2312" w:hAnsi="仿宋_GB2312" w:eastAsia="仿宋_GB2312" w:cs="仿宋_GB2312"/>
          <w:color w:val="auto"/>
          <w:sz w:val="32"/>
          <w:szCs w:val="32"/>
          <w:highlight w:val="none"/>
          <w:lang w:val="en-US" w:eastAsia="zh-CN"/>
        </w:rPr>
        <w:t>开展</w:t>
      </w:r>
      <w:r>
        <w:rPr>
          <w:rFonts w:hint="default" w:ascii="仿宋_GB2312" w:hAnsi="仿宋_GB2312" w:eastAsia="仿宋_GB2312" w:cs="仿宋_GB2312"/>
          <w:color w:val="auto"/>
          <w:sz w:val="32"/>
          <w:szCs w:val="32"/>
          <w:highlight w:val="none"/>
          <w:lang w:val="en-US" w:eastAsia="zh-CN"/>
        </w:rPr>
        <w:t>督查。</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rPr>
        <w:t>全力</w:t>
      </w:r>
      <w:r>
        <w:rPr>
          <w:rFonts w:hint="eastAsia" w:ascii="仿宋_GB2312" w:hAnsi="仿宋_GB2312" w:eastAsia="仿宋_GB2312" w:cs="仿宋_GB2312"/>
          <w:color w:val="auto"/>
          <w:sz w:val="32"/>
          <w:szCs w:val="32"/>
          <w:highlight w:val="none"/>
          <w:lang w:val="en-US" w:eastAsia="zh-CN"/>
        </w:rPr>
        <w:t>打好铁路沿线环境综合治理收官战。一是制发年度工作要点，成立“双段长”制办公室，</w:t>
      </w:r>
      <w:r>
        <w:rPr>
          <w:rFonts w:hint="default" w:ascii="仿宋_GB2312" w:hAnsi="仿宋_GB2312" w:eastAsia="仿宋_GB2312" w:cs="仿宋_GB2312"/>
          <w:color w:val="auto"/>
          <w:sz w:val="32"/>
          <w:szCs w:val="32"/>
          <w:highlight w:val="none"/>
          <w:lang w:val="en-US" w:eastAsia="zh-CN"/>
        </w:rPr>
        <w:t>现场</w:t>
      </w:r>
      <w:r>
        <w:rPr>
          <w:rFonts w:hint="eastAsia" w:ascii="仿宋_GB2312" w:hAnsi="仿宋_GB2312" w:eastAsia="仿宋_GB2312" w:cs="仿宋_GB2312"/>
          <w:color w:val="auto"/>
          <w:sz w:val="32"/>
          <w:szCs w:val="32"/>
          <w:highlight w:val="none"/>
          <w:lang w:val="en-US" w:eastAsia="zh-CN"/>
        </w:rPr>
        <w:t>联合排查铁路沿线燃、油气管道安全隐患。二是会同铁路管理部门现场协调进行重难点问题整改，保证铁路运行安全及群众生命财产安全</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三是</w:t>
      </w:r>
      <w:r>
        <w:rPr>
          <w:rFonts w:hint="default" w:ascii="仿宋_GB2312" w:hAnsi="仿宋_GB2312" w:eastAsia="仿宋_GB2312" w:cs="仿宋_GB2312"/>
          <w:color w:val="auto"/>
          <w:sz w:val="32"/>
          <w:szCs w:val="32"/>
          <w:highlight w:val="none"/>
          <w:lang w:val="en-US" w:eastAsia="zh-CN"/>
        </w:rPr>
        <w:t>通过</w:t>
      </w:r>
      <w:r>
        <w:rPr>
          <w:rFonts w:hint="eastAsia" w:ascii="仿宋_GB2312" w:hAnsi="仿宋_GB2312" w:eastAsia="仿宋_GB2312" w:cs="仿宋_GB2312"/>
          <w:color w:val="auto"/>
          <w:sz w:val="32"/>
          <w:szCs w:val="32"/>
          <w:highlight w:val="none"/>
          <w:lang w:val="en-US" w:eastAsia="zh-CN"/>
        </w:rPr>
        <w:t>发放宣传资料、召开群众会等方式</w:t>
      </w:r>
      <w:r>
        <w:rPr>
          <w:rFonts w:hint="default" w:ascii="仿宋_GB2312" w:hAnsi="仿宋_GB2312" w:eastAsia="仿宋_GB2312" w:cs="仿宋_GB2312"/>
          <w:color w:val="auto"/>
          <w:sz w:val="32"/>
          <w:szCs w:val="32"/>
          <w:highlight w:val="none"/>
          <w:lang w:val="en-US" w:eastAsia="zh-CN"/>
        </w:rPr>
        <w:t>，路地双方经常</w:t>
      </w:r>
      <w:r>
        <w:rPr>
          <w:rFonts w:hint="eastAsia" w:ascii="仿宋_GB2312" w:hAnsi="仿宋_GB2312" w:eastAsia="仿宋_GB2312" w:cs="仿宋_GB2312"/>
          <w:color w:val="auto"/>
          <w:sz w:val="32"/>
          <w:szCs w:val="32"/>
          <w:highlight w:val="none"/>
          <w:lang w:val="en-US" w:eastAsia="zh-CN"/>
        </w:rPr>
        <w:t>深入县区联合开展铁路护路安全防控宣讲活动，引导群众主动参与铁路安全环境整治。</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4.稳步</w:t>
      </w:r>
      <w:r>
        <w:rPr>
          <w:rFonts w:hint="eastAsia" w:ascii="仿宋_GB2312" w:hAnsi="仿宋_GB2312" w:eastAsia="仿宋_GB2312" w:cs="仿宋_GB2312"/>
          <w:color w:val="auto"/>
          <w:sz w:val="32"/>
          <w:szCs w:val="32"/>
          <w:highlight w:val="none"/>
          <w:lang w:val="en-US"/>
        </w:rPr>
        <w:t>推进</w:t>
      </w:r>
      <w:r>
        <w:rPr>
          <w:rFonts w:hint="eastAsia" w:ascii="仿宋_GB2312" w:hAnsi="仿宋_GB2312" w:eastAsia="仿宋_GB2312" w:cs="仿宋_GB2312"/>
          <w:color w:val="auto"/>
          <w:sz w:val="32"/>
          <w:szCs w:val="32"/>
          <w:highlight w:val="none"/>
          <w:lang w:val="en-US" w:eastAsia="zh-CN"/>
        </w:rPr>
        <w:t>中国最干净城市建设。一是</w:t>
      </w:r>
      <w:r>
        <w:rPr>
          <w:rFonts w:hint="default" w:ascii="仿宋_GB2312" w:hAnsi="仿宋_GB2312" w:eastAsia="仿宋_GB2312" w:cs="仿宋_GB2312"/>
          <w:color w:val="auto"/>
          <w:sz w:val="32"/>
          <w:szCs w:val="32"/>
          <w:highlight w:val="none"/>
          <w:lang w:val="en-US" w:eastAsia="zh-CN"/>
        </w:rPr>
        <w:t>编制城管系统建设中国最干净城市实施</w:t>
      </w:r>
      <w:r>
        <w:rPr>
          <w:rFonts w:hint="eastAsia" w:ascii="仿宋_GB2312" w:hAnsi="仿宋_GB2312" w:eastAsia="仿宋_GB2312" w:cs="仿宋_GB2312"/>
          <w:color w:val="auto"/>
          <w:sz w:val="32"/>
          <w:szCs w:val="32"/>
          <w:highlight w:val="none"/>
          <w:lang w:eastAsia="zh-CN"/>
        </w:rPr>
        <w:t>方案和年度工作要点，</w:t>
      </w:r>
      <w:r>
        <w:rPr>
          <w:rFonts w:hint="eastAsia" w:ascii="仿宋_GB2312" w:hAnsi="仿宋_GB2312" w:eastAsia="仿宋_GB2312" w:cs="仿宋_GB2312"/>
          <w:color w:val="auto"/>
          <w:sz w:val="32"/>
          <w:szCs w:val="32"/>
          <w:highlight w:val="none"/>
          <w:lang w:val="en-US" w:eastAsia="zh-CN"/>
        </w:rPr>
        <w:t>明确总体任务和年度工作重点。二是</w:t>
      </w:r>
      <w:r>
        <w:rPr>
          <w:rFonts w:hint="default" w:ascii="仿宋_GB2312" w:hAnsi="仿宋_GB2312" w:eastAsia="仿宋_GB2312" w:cs="仿宋_GB2312"/>
          <w:color w:val="auto"/>
          <w:sz w:val="32"/>
          <w:szCs w:val="32"/>
          <w:highlight w:val="none"/>
          <w:lang w:val="en-US" w:eastAsia="zh-CN"/>
        </w:rPr>
        <w:t>结合最干净城市指标体系，对</w:t>
      </w:r>
      <w:r>
        <w:rPr>
          <w:rFonts w:hint="eastAsia" w:ascii="仿宋_GB2312" w:hAnsi="仿宋_GB2312" w:eastAsia="仿宋_GB2312" w:cs="仿宋_GB2312"/>
          <w:color w:val="auto"/>
          <w:sz w:val="32"/>
          <w:szCs w:val="32"/>
          <w:highlight w:val="none"/>
          <w:lang w:val="en-US" w:eastAsia="zh-CN"/>
        </w:rPr>
        <w:t>广元</w:t>
      </w:r>
      <w:r>
        <w:rPr>
          <w:rFonts w:hint="default" w:ascii="仿宋_GB2312" w:hAnsi="仿宋_GB2312" w:eastAsia="仿宋_GB2312" w:cs="仿宋_GB2312"/>
          <w:color w:val="auto"/>
          <w:sz w:val="32"/>
          <w:szCs w:val="32"/>
          <w:highlight w:val="none"/>
          <w:lang w:val="en-US" w:eastAsia="zh-CN"/>
        </w:rPr>
        <w:t>最干净乡镇、村庄创建标准进行优化，</w:t>
      </w:r>
      <w:r>
        <w:rPr>
          <w:rFonts w:hint="eastAsia" w:ascii="仿宋_GB2312" w:hAnsi="仿宋_GB2312" w:eastAsia="仿宋_GB2312" w:cs="仿宋_GB2312"/>
          <w:color w:val="auto"/>
          <w:sz w:val="32"/>
          <w:szCs w:val="32"/>
          <w:highlight w:val="none"/>
          <w:lang w:val="en-US" w:eastAsia="zh-CN"/>
        </w:rPr>
        <w:t>起草《广元市最干净乡镇村庄标准及评审管理办法》</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积极配合抓好示范创建集中申报工作，力争纳入省创建示范活动目录</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三是</w:t>
      </w:r>
      <w:r>
        <w:rPr>
          <w:rFonts w:hint="default" w:ascii="仿宋_GB2312" w:hAnsi="仿宋_GB2312" w:eastAsia="仿宋_GB2312" w:cs="仿宋_GB2312"/>
          <w:color w:val="auto"/>
          <w:sz w:val="32"/>
          <w:szCs w:val="32"/>
          <w:highlight w:val="none"/>
          <w:lang w:val="en-US" w:eastAsia="zh-CN"/>
        </w:rPr>
        <w:t>对照《广元市最干净城市建设指标体系（试行）》逐一细化、研制具有可操作性考评内容、方法</w:t>
      </w:r>
      <w:r>
        <w:rPr>
          <w:rFonts w:hint="eastAsia" w:ascii="仿宋_GB2312" w:hAnsi="仿宋_GB2312" w:eastAsia="仿宋_GB2312" w:cs="仿宋_GB2312"/>
          <w:color w:val="auto"/>
          <w:sz w:val="32"/>
          <w:szCs w:val="32"/>
          <w:highlight w:val="none"/>
          <w:lang w:val="en-US" w:eastAsia="zh-CN"/>
        </w:rPr>
        <w:t>。</w:t>
      </w:r>
    </w:p>
    <w:p>
      <w:pPr>
        <w:widowControl w:val="0"/>
        <w:shd w:val="clear" w:color="040000" w:fill="auto"/>
        <w:wordWrap/>
        <w:autoSpaceDE w:val="0"/>
        <w:autoSpaceDN w:val="0"/>
        <w:adjustRightInd w:val="0"/>
        <w:snapToGrid/>
        <w:spacing w:line="510" w:lineRule="exact"/>
        <w:ind w:firstLine="640" w:firstLineChars="200"/>
        <w:textAlignment w:val="auto"/>
        <w:rPr>
          <w:rFonts w:hint="default"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zh-CN" w:eastAsia="zh-CN"/>
        </w:rPr>
        <w:t>（</w:t>
      </w:r>
      <w:r>
        <w:rPr>
          <w:rFonts w:hint="eastAsia" w:ascii="方正楷体简体" w:hAnsi="方正楷体简体" w:eastAsia="方正楷体简体" w:cs="方正楷体简体"/>
          <w:color w:val="auto"/>
          <w:sz w:val="32"/>
          <w:szCs w:val="32"/>
          <w:highlight w:val="none"/>
          <w:lang w:val="en-US" w:eastAsia="zh-CN"/>
        </w:rPr>
        <w:t>二</w:t>
      </w:r>
      <w:r>
        <w:rPr>
          <w:rFonts w:hint="eastAsia" w:ascii="方正楷体简体" w:hAnsi="方正楷体简体" w:eastAsia="方正楷体简体" w:cs="方正楷体简体"/>
          <w:color w:val="auto"/>
          <w:sz w:val="32"/>
          <w:szCs w:val="32"/>
          <w:highlight w:val="none"/>
          <w:lang w:val="zh-CN" w:eastAsia="zh-CN"/>
        </w:rPr>
        <w:t>）项目效益情况</w:t>
      </w:r>
    </w:p>
    <w:p>
      <w:pPr>
        <w:widowControl w:val="0"/>
        <w:shd w:val="clear" w:color="040000" w:fill="auto"/>
        <w:wordWrap/>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eastAsia="zh-CN"/>
        </w:rPr>
        <w:t>社会效益指标：减少细菌传播，利于人民健康</w:t>
      </w:r>
      <w:r>
        <w:rPr>
          <w:rFonts w:hint="eastAsia" w:ascii="仿宋_GB2312" w:hAnsi="仿宋_GB2312" w:eastAsia="仿宋_GB2312" w:cs="仿宋_GB2312"/>
          <w:color w:val="auto"/>
          <w:sz w:val="32"/>
          <w:szCs w:val="32"/>
          <w:highlight w:val="none"/>
          <w:lang w:val="en-US" w:eastAsia="zh-CN"/>
        </w:rPr>
        <w:t>优；生活质量优。</w:t>
      </w:r>
    </w:p>
    <w:p>
      <w:pPr>
        <w:widowControl w:val="0"/>
        <w:shd w:val="clear" w:color="040000" w:fill="auto"/>
        <w:wordWrap/>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eastAsia="zh-CN"/>
        </w:rPr>
        <w:t>可持续效益指标：不断强化环境治理，环境可持续发展</w:t>
      </w:r>
      <w:r>
        <w:rPr>
          <w:rFonts w:hint="eastAsia" w:ascii="仿宋_GB2312" w:hAnsi="仿宋_GB2312" w:eastAsia="仿宋_GB2312" w:cs="仿宋_GB2312"/>
          <w:color w:val="auto"/>
          <w:sz w:val="32"/>
          <w:szCs w:val="32"/>
          <w:highlight w:val="none"/>
          <w:lang w:val="en-US" w:eastAsia="zh-CN"/>
        </w:rPr>
        <w:t>优。</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eastAsia="zh-CN"/>
        </w:rPr>
        <w:t>服务对象满意度指标：</w:t>
      </w:r>
      <w:r>
        <w:rPr>
          <w:rFonts w:hint="eastAsia" w:ascii="仿宋_GB2312" w:hAnsi="仿宋_GB2312" w:eastAsia="仿宋_GB2312" w:cs="仿宋_GB2312"/>
          <w:color w:val="auto"/>
          <w:sz w:val="32"/>
          <w:szCs w:val="32"/>
          <w:highlight w:val="none"/>
          <w:lang w:val="en-US" w:eastAsia="zh-CN"/>
        </w:rPr>
        <w:t>群众对爱国卫生运动满意度满意。</w:t>
      </w:r>
    </w:p>
    <w:p>
      <w:pPr>
        <w:widowControl w:val="0"/>
        <w:shd w:val="clear" w:color="040000" w:fill="auto"/>
        <w:wordWrap/>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4.生态环境效益</w:t>
      </w:r>
      <w:r>
        <w:rPr>
          <w:rFonts w:hint="eastAsia" w:ascii="仿宋_GB2312" w:hAnsi="仿宋_GB2312" w:eastAsia="仿宋_GB2312" w:cs="仿宋_GB2312"/>
          <w:color w:val="auto"/>
          <w:sz w:val="32"/>
          <w:szCs w:val="32"/>
          <w:highlight w:val="none"/>
          <w:lang w:val="zh-CN" w:eastAsia="zh-CN"/>
        </w:rPr>
        <w:t>指标：“四害”孳生地减少。</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 产出指标-数量指标：制作张贴宣传标语、宣传专栏：2500余处；清除卫生死角：7000余处；义诊活动：近30场次。</w:t>
      </w:r>
    </w:p>
    <w:p>
      <w:pPr>
        <w:widowControl w:val="0"/>
        <w:shd w:val="clear" w:color="040000" w:fill="auto"/>
        <w:wordWrap/>
        <w:adjustRightInd/>
        <w:snapToGrid/>
        <w:spacing w:line="576" w:lineRule="exact"/>
        <w:ind w:left="0" w:leftChars="0"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27" w:name="_Toc29080"/>
      <w:r>
        <w:rPr>
          <w:rFonts w:hint="eastAsia" w:ascii="方正黑体简体" w:hAnsi="方正黑体简体" w:eastAsia="方正黑体简体" w:cs="方正黑体简体"/>
          <w:color w:val="auto"/>
          <w:sz w:val="32"/>
          <w:szCs w:val="32"/>
          <w:highlight w:val="none"/>
        </w:rPr>
        <w:t>五、评价结论及建议</w:t>
      </w:r>
      <w:bookmarkEnd w:id="27"/>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（一）评价结论</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项目目标任务全面完成、资金管理规范，城乡卫生环境进一步改善。</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（二）发现的主要问题</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一是群众参与意识不强。环境治理、爱国卫生宣传引导力度不够，群众环境保护意识淡薄，文明健康绿色环保的生活方式尚未养成。二是垃圾收转运处置体系不完善。个别县区垃圾活垃圾分类收集点布局不合理，数量偏少，部分收集设施破损、陈旧；垃圾运输车辆配备不足，管理不规范。</w:t>
      </w:r>
    </w:p>
    <w:p>
      <w:pPr>
        <w:widowControl w:val="0"/>
        <w:shd w:val="clear" w:color="040000" w:fill="auto"/>
        <w:wordWrap/>
        <w:autoSpaceDE w:val="0"/>
        <w:autoSpaceDN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（三）相关建议</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一是抓好爱国卫生长效管理机制建设，持续开展群众性爱国卫生运动。二是打好城乡垃圾处理设施建设“三推”工作收官战，加强项目谋划和资金争取，不断补齐城乡生活垃圾收集、运输、处理设施短板。</w:t>
      </w:r>
    </w:p>
    <w:p>
      <w:pPr>
        <w:widowControl w:val="0"/>
        <w:shd w:val="clear" w:color="040000" w:fill="auto"/>
        <w:wordWrap/>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sectPr>
          <w:pgSz w:w="12240" w:h="15840"/>
          <w:pgMar w:top="1440" w:right="1800" w:bottom="1440" w:left="1800" w:header="720" w:footer="720" w:gutter="0"/>
          <w:lnNumType w:countBy="0" w:distance="360"/>
          <w:pgNumType w:fmt="decimal"/>
          <w:cols w:space="720" w:num="1"/>
          <w:docGrid w:type="lines" w:linePitch="312" w:charSpace="0"/>
        </w:sectPr>
      </w:pPr>
    </w:p>
    <w:tbl>
      <w:tblPr>
        <w:tblStyle w:val="11"/>
        <w:tblW w:w="103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702"/>
        <w:gridCol w:w="123"/>
        <w:gridCol w:w="787"/>
        <w:gridCol w:w="1383"/>
        <w:gridCol w:w="719"/>
        <w:gridCol w:w="788"/>
        <w:gridCol w:w="787"/>
        <w:gridCol w:w="900"/>
        <w:gridCol w:w="863"/>
        <w:gridCol w:w="825"/>
        <w:gridCol w:w="938"/>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304" w:type="dxa"/>
            <w:gridSpan w:val="13"/>
            <w:tcBorders>
              <w:top w:val="nil"/>
              <w:left w:val="nil"/>
              <w:bottom w:val="nil"/>
              <w:right w:val="nil"/>
            </w:tcBorders>
            <w:vAlign w:val="center"/>
          </w:tcPr>
          <w:p>
            <w:pPr>
              <w:widowControl/>
              <w:shd w:val="clear" w:color="040000" w:fill="auto"/>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0304"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项目名称：基本公共卫生服务中央补助资金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60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主管部门（盖章）</w:t>
            </w: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实施单位 （盖章）</w:t>
            </w:r>
          </w:p>
        </w:tc>
        <w:tc>
          <w:tcPr>
            <w:tcW w:w="333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项目基本情况</w:t>
            </w:r>
          </w:p>
        </w:tc>
        <w:tc>
          <w:tcPr>
            <w:tcW w:w="82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1.项目年度目标完成情况</w:t>
            </w: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项目年度目标</w:t>
            </w:r>
          </w:p>
        </w:tc>
        <w:tc>
          <w:tcPr>
            <w:tcW w:w="42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在城区开展爱国卫生检查和病媒生物防制监测评估工作，坚持整治与防治相结合，维护经济社会健康发展，保障人民群众身体健康。</w:t>
            </w:r>
          </w:p>
        </w:tc>
        <w:tc>
          <w:tcPr>
            <w:tcW w:w="42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以全国文明城市创建、爱国卫生检查和病媒生物防制实施为抓手，大力开展城市环境卫生秩序综合治理，切实维护社会健康发展。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2.项目实施内容及过程概述</w:t>
            </w:r>
          </w:p>
        </w:tc>
        <w:tc>
          <w:tcPr>
            <w:tcW w:w="870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为保证该项目实施，以全国文明城市创建、爱国卫生检查和病媒生物防制实施为抓手，广爱卫办印发《2022年病媒生物防制工作实施方案》〔2022〕2号、《2022年爱国卫生工作要点》，广城乡治办印发《深入推进城乡环境综合治理建设中国最干净城市实施方案》〔2022〕5号及《2022年城乡环境综合治理工作要点》等，深入开展爱国卫生、城乡环境综合治理等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预算执行情况（10分）</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年度预算数（万元）</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年初预算</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调整后预算数</w:t>
            </w:r>
          </w:p>
        </w:tc>
        <w:tc>
          <w:tcPr>
            <w:tcW w:w="229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预算执行率</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总额</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6.00</w:t>
            </w:r>
          </w:p>
        </w:tc>
        <w:tc>
          <w:tcPr>
            <w:tcW w:w="229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6.00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8</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其中：财政资金</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6.00</w:t>
            </w:r>
          </w:p>
        </w:tc>
        <w:tc>
          <w:tcPr>
            <w:tcW w:w="229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6.00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100.00%</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财政专户管理资金</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29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单位资金</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29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其他资金</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229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绩效指标（90分）</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一级指标</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二级指标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三级指标</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指标性质</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指标值</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度量单位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完成值</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权重</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部门自评得分</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财政部门科室复评得分</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vMerge w:val="restart"/>
            <w:tcBorders>
              <w:top w:val="single" w:color="000000" w:sz="4" w:space="0"/>
              <w:left w:val="single" w:color="000000" w:sz="4" w:space="0"/>
              <w:bottom w:val="nil"/>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产出指标</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质量指标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“四害”密度</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控制、不控制</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控制</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vMerge w:val="continue"/>
            <w:tcBorders>
              <w:top w:val="single" w:color="000000" w:sz="4" w:space="0"/>
              <w:left w:val="single" w:color="000000" w:sz="4" w:space="0"/>
              <w:bottom w:val="nil"/>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制作张贴宣传标语、宣传专栏</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2000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处</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2500</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vMerge w:val="continue"/>
            <w:tcBorders>
              <w:top w:val="single" w:color="000000" w:sz="4" w:space="0"/>
              <w:left w:val="single" w:color="000000" w:sz="4" w:space="0"/>
              <w:bottom w:val="nil"/>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清除卫生死角</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7000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处</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7100</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vMerge w:val="continue"/>
            <w:tcBorders>
              <w:top w:val="single" w:color="000000" w:sz="4" w:space="0"/>
              <w:left w:val="single" w:color="000000" w:sz="4" w:space="0"/>
              <w:bottom w:val="nil"/>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数量指标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义诊活动</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20</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场</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30</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5"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效益指标</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生态环境效益</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“四害”孳生地</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提高/减少</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减少</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社会效益指标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减少细菌传播，利于人民健康</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生活质量</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可持续效益指标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不断强化环境治理，环境可持续发展</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优良中差</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优</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满意度指标</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服务对象满意度指标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群众对爱国卫生运动满意度</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定性</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满意、不满意</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满意</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ind w:left="0" w:leftChars="0" w:right="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6966"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合计</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96</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部门（单位）自评结论</w:t>
            </w:r>
          </w:p>
        </w:tc>
        <w:tc>
          <w:tcPr>
            <w:tcW w:w="882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是广泛开展爱国卫生运动。积极开展纪念爱国卫生运动和爱国卫生月系列活动，采取多种形式广泛宣传。重点对城乡结合部、公铁路沿线、江河沿岸、旅游景点、背街小巷等进行环境卫生综合治理。治理病媒生物孳生地，完善“三防”等设施设备，实施市城区公共区域病媒生物防制。“四害”密度控制在国家规定标准之内，旺苍县、剑阁县通过病媒生物防制达标市级考核。二是深入推进城乡环境综合治理。做实项目工作。加大项目优化力度。同时，强化资金监管，确保专款专用，提高资金使用绩效。抓好涉疫垃圾收运处置，持续抓好森林防灭火及秸秆禁烧。三是全力打好铁路沿线环境综合治理收官战。现场联合排查铁路沿线燃、油气管道安全隐患。会同铁路管理部门现场协调进行重难点问题整改。四是稳步推进中国最干净城市建设。截止2022年12月31日，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部门（单位）自评存在问题</w:t>
            </w:r>
          </w:p>
        </w:tc>
        <w:tc>
          <w:tcPr>
            <w:tcW w:w="882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是群众参与意识不强。环境治理、爱国卫生宣传引导力度不够，群众环境保护意识淡薄，文明健康绿色环保的生活方式尚未养成。二是垃圾收转运处置体系不完善。个别县区垃圾活垃圾分类收集点布局不合理，数量偏少，部分收集设施破损、陈旧；垃圾运输车辆配备不足，管理不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部门（单位）自评改进措施</w:t>
            </w:r>
          </w:p>
        </w:tc>
        <w:tc>
          <w:tcPr>
            <w:tcW w:w="882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一是抓好爱国卫生长效管理机制建设，持续开展群众性爱国卫生运动。二是打好城乡垃圾处理设施建设“三推”工作收官战，加强项目谋划和资金争取，不断补齐城乡生活垃圾收集、运输、处理设施短板。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财政部门对口科室复评结论及整改要求</w:t>
            </w:r>
          </w:p>
        </w:tc>
        <w:tc>
          <w:tcPr>
            <w:tcW w:w="882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491"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单位项目负责人：闵正华</w:t>
            </w:r>
          </w:p>
        </w:tc>
        <w:tc>
          <w:tcPr>
            <w:tcW w:w="5813"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491"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部门项目负责人：王金川</w:t>
            </w:r>
          </w:p>
        </w:tc>
        <w:tc>
          <w:tcPr>
            <w:tcW w:w="5813"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304"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rPr>
              <w:t>财政部门科室负责人：邓毅</w:t>
            </w:r>
          </w:p>
        </w:tc>
      </w:tr>
    </w:tbl>
    <w:p>
      <w:pPr>
        <w:shd w:val="clear" w:color="000000" w:fill="auto"/>
        <w:spacing w:beforeLines="0" w:afterLines="0"/>
        <w:rPr>
          <w:rFonts w:hint="eastAsia" w:ascii="黑体" w:hAnsi="黑体" w:eastAsia="黑体"/>
          <w:color w:val="auto"/>
          <w:kern w:val="44"/>
          <w:sz w:val="44"/>
          <w:szCs w:val="24"/>
          <w:highlight w:val="none"/>
          <w:lang w:val="en-US"/>
        </w:rPr>
      </w:pPr>
      <w:r>
        <w:rPr>
          <w:rFonts w:hint="eastAsia" w:ascii="黑体" w:hAnsi="黑体" w:eastAsia="黑体"/>
          <w:color w:val="auto"/>
          <w:kern w:val="44"/>
          <w:sz w:val="44"/>
          <w:szCs w:val="24"/>
          <w:highlight w:val="none"/>
          <w:lang w:val="en-US"/>
        </w:rPr>
        <w:br w:type="page"/>
      </w:r>
    </w:p>
    <w:p>
      <w:pPr>
        <w:shd w:val="clear" w:color="000000" w:fill="auto"/>
        <w:spacing w:beforeLines="0" w:afterLines="0" w:line="600" w:lineRule="exact"/>
        <w:jc w:val="center"/>
        <w:outlineLvl w:val="0"/>
        <w:rPr>
          <w:rFonts w:hint="eastAsia" w:ascii="仿宋" w:hAnsi="仿宋" w:eastAsia="仿宋"/>
          <w:color w:val="auto"/>
          <w:kern w:val="2"/>
          <w:sz w:val="21"/>
          <w:szCs w:val="24"/>
          <w:highlight w:val="none"/>
          <w:lang w:val="en-US"/>
        </w:rPr>
      </w:pPr>
      <w:bookmarkStart w:id="28" w:name="_Toc21540"/>
      <w:r>
        <w:rPr>
          <w:rFonts w:hint="eastAsia" w:ascii="黑体" w:hAnsi="黑体" w:eastAsia="黑体"/>
          <w:color w:val="auto"/>
          <w:kern w:val="2"/>
          <w:sz w:val="44"/>
          <w:szCs w:val="24"/>
          <w:highlight w:val="none"/>
          <w:lang w:val="en-US"/>
        </w:rPr>
        <w:t>第</w:t>
      </w:r>
      <w:r>
        <w:rPr>
          <w:rFonts w:hint="eastAsia" w:ascii="黑体" w:hAnsi="黑体" w:eastAsia="黑体"/>
          <w:color w:val="auto"/>
          <w:kern w:val="44"/>
          <w:sz w:val="44"/>
          <w:szCs w:val="24"/>
          <w:highlight w:val="none"/>
          <w:lang w:val="en-US"/>
        </w:rPr>
        <w:t>五部分 附表</w:t>
      </w:r>
      <w:bookmarkEnd w:id="28"/>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29" w:name="_Toc9687"/>
      <w:r>
        <w:rPr>
          <w:rFonts w:hint="eastAsia" w:ascii="仿宋" w:hAnsi="仿宋" w:eastAsia="仿宋"/>
          <w:color w:val="auto"/>
          <w:kern w:val="2"/>
          <w:sz w:val="32"/>
          <w:szCs w:val="24"/>
          <w:highlight w:val="none"/>
          <w:lang w:val="en-US"/>
        </w:rPr>
        <w:t>一、收入支出决算总表</w:t>
      </w:r>
      <w:bookmarkEnd w:id="29"/>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0" w:name="_Toc14058"/>
      <w:r>
        <w:rPr>
          <w:rFonts w:hint="eastAsia" w:ascii="仿宋" w:hAnsi="仿宋" w:eastAsia="仿宋"/>
          <w:color w:val="auto"/>
          <w:kern w:val="2"/>
          <w:sz w:val="32"/>
          <w:szCs w:val="24"/>
          <w:highlight w:val="none"/>
          <w:lang w:val="en-US"/>
        </w:rPr>
        <w:t>二、收入决算表</w:t>
      </w:r>
      <w:bookmarkEnd w:id="30"/>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1" w:name="_Toc23199"/>
      <w:r>
        <w:rPr>
          <w:rFonts w:hint="eastAsia" w:ascii="仿宋" w:hAnsi="仿宋" w:eastAsia="仿宋"/>
          <w:color w:val="auto"/>
          <w:kern w:val="2"/>
          <w:sz w:val="32"/>
          <w:szCs w:val="24"/>
          <w:highlight w:val="none"/>
          <w:lang w:val="en-US"/>
        </w:rPr>
        <w:t>三、支出决算表</w:t>
      </w:r>
      <w:bookmarkEnd w:id="31"/>
    </w:p>
    <w:p>
      <w:pPr>
        <w:pStyle w:val="4"/>
        <w:keepNext/>
        <w:keepLines/>
        <w:shd w:val="clear" w:color="030000" w:fill="auto"/>
        <w:spacing w:before="260" w:beforeLines="0" w:after="260" w:afterLines="0" w:line="408" w:lineRule="auto"/>
        <w:jc w:val="both"/>
        <w:rPr>
          <w:rFonts w:hint="eastAsia" w:ascii="仿宋" w:hAnsi="仿宋" w:eastAsia="仿宋"/>
          <w:color w:val="auto"/>
          <w:kern w:val="2"/>
          <w:sz w:val="32"/>
          <w:szCs w:val="24"/>
          <w:highlight w:val="none"/>
          <w:lang w:val="en-US"/>
        </w:rPr>
      </w:pPr>
      <w:bookmarkStart w:id="32" w:name="_Toc28264"/>
      <w:r>
        <w:rPr>
          <w:rFonts w:hint="eastAsia" w:ascii="仿宋" w:hAnsi="仿宋" w:eastAsia="仿宋"/>
          <w:color w:val="auto"/>
          <w:kern w:val="2"/>
          <w:sz w:val="32"/>
          <w:szCs w:val="24"/>
          <w:highlight w:val="none"/>
          <w:lang w:val="en-US"/>
        </w:rPr>
        <w:t>四、财政拨款收入支出决算总表</w:t>
      </w:r>
      <w:bookmarkEnd w:id="32"/>
    </w:p>
    <w:p>
      <w:pPr>
        <w:pStyle w:val="4"/>
        <w:keepNext/>
        <w:keepLines/>
        <w:shd w:val="clear" w:color="030000" w:fill="auto"/>
        <w:spacing w:before="260" w:beforeLines="0" w:after="260" w:afterLines="0" w:line="408" w:lineRule="auto"/>
        <w:jc w:val="both"/>
        <w:rPr>
          <w:rFonts w:hint="eastAsia" w:ascii="仿宋" w:hAnsi="仿宋" w:eastAsia="仿宋"/>
          <w:color w:val="auto"/>
          <w:kern w:val="2"/>
          <w:sz w:val="32"/>
          <w:szCs w:val="24"/>
          <w:highlight w:val="none"/>
          <w:lang w:val="en-US"/>
        </w:rPr>
      </w:pPr>
      <w:bookmarkStart w:id="33" w:name="_Toc27460"/>
      <w:r>
        <w:rPr>
          <w:rFonts w:hint="eastAsia" w:ascii="仿宋" w:hAnsi="仿宋" w:eastAsia="仿宋"/>
          <w:color w:val="auto"/>
          <w:kern w:val="2"/>
          <w:sz w:val="32"/>
          <w:szCs w:val="24"/>
          <w:highlight w:val="none"/>
          <w:lang w:val="en-US"/>
        </w:rPr>
        <w:t>五、财政拨款支出决算明细表</w:t>
      </w:r>
      <w:bookmarkEnd w:id="33"/>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4" w:name="_Toc27963"/>
      <w:r>
        <w:rPr>
          <w:rFonts w:hint="eastAsia" w:ascii="仿宋" w:hAnsi="仿宋" w:eastAsia="仿宋"/>
          <w:color w:val="auto"/>
          <w:kern w:val="2"/>
          <w:sz w:val="32"/>
          <w:szCs w:val="24"/>
          <w:highlight w:val="none"/>
          <w:lang w:val="en-US"/>
        </w:rPr>
        <w:t>六、一般公共预算财政拨款支出决算表</w:t>
      </w:r>
      <w:bookmarkEnd w:id="34"/>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5" w:name="_Toc23074"/>
      <w:r>
        <w:rPr>
          <w:rFonts w:hint="eastAsia" w:ascii="仿宋" w:hAnsi="仿宋" w:eastAsia="仿宋"/>
          <w:color w:val="auto"/>
          <w:kern w:val="2"/>
          <w:sz w:val="32"/>
          <w:szCs w:val="24"/>
          <w:highlight w:val="none"/>
          <w:lang w:val="en-US"/>
        </w:rPr>
        <w:t>七、一般公共预算财政拨款支出决算明细表</w:t>
      </w:r>
      <w:bookmarkEnd w:id="35"/>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6" w:name="_Toc26043"/>
      <w:r>
        <w:rPr>
          <w:rFonts w:hint="eastAsia" w:ascii="仿宋" w:hAnsi="仿宋" w:eastAsia="仿宋"/>
          <w:color w:val="auto"/>
          <w:kern w:val="2"/>
          <w:sz w:val="32"/>
          <w:szCs w:val="24"/>
          <w:highlight w:val="none"/>
          <w:lang w:val="en-US"/>
        </w:rPr>
        <w:t>八、一般公共预算财政拨款基本支出决算表</w:t>
      </w:r>
      <w:bookmarkEnd w:id="36"/>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7" w:name="_Toc3059"/>
      <w:r>
        <w:rPr>
          <w:rFonts w:hint="eastAsia" w:ascii="仿宋" w:hAnsi="仿宋" w:eastAsia="仿宋"/>
          <w:color w:val="auto"/>
          <w:kern w:val="2"/>
          <w:sz w:val="32"/>
          <w:szCs w:val="24"/>
          <w:highlight w:val="none"/>
          <w:lang w:val="en-US"/>
        </w:rPr>
        <w:t>九、一般公共预算财政拨款项目支出决算表</w:t>
      </w:r>
      <w:bookmarkEnd w:id="37"/>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8" w:name="_Toc15989"/>
      <w:r>
        <w:rPr>
          <w:rFonts w:hint="eastAsia" w:ascii="仿宋" w:hAnsi="仿宋" w:eastAsia="仿宋"/>
          <w:color w:val="auto"/>
          <w:kern w:val="2"/>
          <w:sz w:val="32"/>
          <w:szCs w:val="24"/>
          <w:highlight w:val="none"/>
          <w:lang w:val="en-US"/>
        </w:rPr>
        <w:t>十、政府性基金预算财政拨款收入支出决算表</w:t>
      </w:r>
      <w:bookmarkEnd w:id="38"/>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9" w:name="_Toc30435"/>
      <w:r>
        <w:rPr>
          <w:rFonts w:hint="eastAsia" w:ascii="仿宋" w:hAnsi="仿宋" w:eastAsia="仿宋"/>
          <w:color w:val="auto"/>
          <w:kern w:val="2"/>
          <w:sz w:val="32"/>
          <w:szCs w:val="24"/>
          <w:highlight w:val="none"/>
          <w:lang w:val="en-US"/>
        </w:rPr>
        <w:t>十一、国有资本经营预算财政拨款收入支出决算表</w:t>
      </w:r>
      <w:bookmarkEnd w:id="39"/>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40" w:name="_Toc24427"/>
      <w:r>
        <w:rPr>
          <w:rFonts w:hint="eastAsia" w:ascii="仿宋" w:hAnsi="仿宋" w:eastAsia="仿宋"/>
          <w:color w:val="auto"/>
          <w:kern w:val="2"/>
          <w:sz w:val="32"/>
          <w:szCs w:val="24"/>
          <w:highlight w:val="none"/>
          <w:lang w:val="en-US"/>
        </w:rPr>
        <w:t>十二、国有资本经营预算财政拨款支出决算表</w:t>
      </w:r>
      <w:bookmarkEnd w:id="40"/>
    </w:p>
    <w:p>
      <w:pPr>
        <w:pStyle w:val="4"/>
        <w:keepNext/>
        <w:keepLines/>
        <w:shd w:val="clear" w:color="030000" w:fill="auto"/>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41" w:name="_Toc11085"/>
      <w:r>
        <w:rPr>
          <w:rFonts w:hint="eastAsia" w:ascii="仿宋" w:hAnsi="仿宋" w:eastAsia="仿宋"/>
          <w:color w:val="auto"/>
          <w:kern w:val="2"/>
          <w:sz w:val="32"/>
          <w:szCs w:val="24"/>
          <w:highlight w:val="none"/>
          <w:lang w:val="en-US"/>
        </w:rPr>
        <w:t>十三、财政拨款</w:t>
      </w:r>
      <w:r>
        <w:rPr>
          <w:rFonts w:hint="default" w:ascii="仿宋" w:hAnsi="仿宋" w:eastAsia="仿宋"/>
          <w:color w:val="auto"/>
          <w:kern w:val="2"/>
          <w:sz w:val="32"/>
          <w:szCs w:val="24"/>
          <w:highlight w:val="none"/>
          <w:lang w:val="en-US"/>
        </w:rPr>
        <w:t>“</w:t>
      </w:r>
      <w:r>
        <w:rPr>
          <w:rFonts w:hint="eastAsia" w:ascii="仿宋" w:hAnsi="仿宋" w:eastAsia="仿宋"/>
          <w:color w:val="auto"/>
          <w:kern w:val="2"/>
          <w:sz w:val="32"/>
          <w:szCs w:val="24"/>
          <w:highlight w:val="none"/>
          <w:lang w:val="en-US"/>
        </w:rPr>
        <w:t>三公</w:t>
      </w:r>
      <w:r>
        <w:rPr>
          <w:rFonts w:hint="default" w:ascii="仿宋" w:hAnsi="仿宋" w:eastAsia="仿宋"/>
          <w:color w:val="auto"/>
          <w:kern w:val="2"/>
          <w:sz w:val="32"/>
          <w:szCs w:val="24"/>
          <w:highlight w:val="none"/>
          <w:lang w:val="en-US"/>
        </w:rPr>
        <w:t>”</w:t>
      </w:r>
      <w:r>
        <w:rPr>
          <w:rFonts w:hint="eastAsia" w:ascii="仿宋" w:hAnsi="仿宋" w:eastAsia="仿宋"/>
          <w:color w:val="auto"/>
          <w:kern w:val="2"/>
          <w:sz w:val="32"/>
          <w:szCs w:val="24"/>
          <w:highlight w:val="none"/>
          <w:lang w:val="en-US"/>
        </w:rPr>
        <w:t>经费支出决算表</w:t>
      </w:r>
      <w:bookmarkEnd w:id="41"/>
    </w:p>
    <w:p>
      <w:pPr>
        <w:shd w:val="clear" w:color="000000" w:fill="auto"/>
        <w:rPr>
          <w:color w:val="auto"/>
          <w:highlight w:val="none"/>
        </w:rPr>
      </w:pPr>
    </w:p>
    <w:sectPr>
      <w:pgSz w:w="12240" w:h="15840"/>
      <w:pgMar w:top="1440" w:right="1800" w:bottom="1440" w:left="180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书宋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p>
    <w:pPr>
      <w:pStyle w:val="2"/>
      <w:tabs>
        <w:tab w:val="right" w:pos="9184"/>
        <w:tab w:val="clear" w:pos="4153"/>
        <w:tab w:val="clear" w:pos="8306"/>
      </w:tabs>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hint="default" w:ascii="Calibri" w:hAnsi="Calibri" w:eastAsia="宋体" w:cs="黑体"/>
        <w:kern w:val="0"/>
        <w:sz w:val="18"/>
        <w:szCs w:val="20"/>
        <w:lang w:val="en-US" w:eastAsia="zh-CN" w:bidi="ar-SA"/>
      </w:rPr>
      <w:pict>
        <v:rect id="文本框 2" o:spid="_x0000_s1025" style="position:absolute;left:0;margin-top:0pt;height:22.75pt;width:74.8pt;mso-position-horizontal:outside;mso-position-horizontal-relative:margin;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2"/>
                  <w:ind w:firstLine="210" w:firstLineChars="1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eastAsia" w:ascii="Times New Roman" w:hAnsi="Times New Roman" w:cs="Times New Roman"/>
                    <w:sz w:val="21"/>
                    <w:szCs w:val="21"/>
                    <w:lang w:val="en-US" w:eastAsia="zh-CN"/>
                  </w:rPr>
                  <w:t xml:space="preserve">  —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8604414">
    <w:nsid w:val="5D7F00FE"/>
    <w:multiLevelType w:val="singleLevel"/>
    <w:tmpl w:val="5D7F00FE"/>
    <w:lvl w:ilvl="0" w:tentative="1">
      <w:start w:val="1"/>
      <w:numFmt w:val="decimal"/>
      <w:suff w:val="nothing"/>
      <w:lvlText w:val="%1．"/>
      <w:lvlJc w:val="left"/>
      <w:pPr>
        <w:ind w:left="0" w:firstLine="400"/>
      </w:pPr>
      <w:rPr>
        <w:rFonts w:hint="default" w:ascii="Times New Roman" w:hAnsi="Times New Roman" w:cs="Times New Roman"/>
        <w:sz w:val="32"/>
        <w:szCs w:val="32"/>
      </w:rPr>
    </w:lvl>
  </w:abstractNum>
  <w:num w:numId="1">
    <w:abstractNumId w:val="15686044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jU1OGM3MzU2OWMzNmFlYTEyNzE5MjEwMmUxNGZlZDEifQ=="/>
  </w:docVars>
  <w:rsids>
    <w:rsidRoot w:val="00172A27"/>
    <w:rsid w:val="021A6091"/>
    <w:rsid w:val="027D2837"/>
    <w:rsid w:val="061604F3"/>
    <w:rsid w:val="066A1827"/>
    <w:rsid w:val="0AE818C1"/>
    <w:rsid w:val="0C3063A0"/>
    <w:rsid w:val="11732221"/>
    <w:rsid w:val="14ED5B04"/>
    <w:rsid w:val="15451DDD"/>
    <w:rsid w:val="162E2191"/>
    <w:rsid w:val="17052223"/>
    <w:rsid w:val="18367E35"/>
    <w:rsid w:val="18FD1A85"/>
    <w:rsid w:val="1A1F08A7"/>
    <w:rsid w:val="1BDD9CC0"/>
    <w:rsid w:val="1C785447"/>
    <w:rsid w:val="1EF2708D"/>
    <w:rsid w:val="1FBC4893"/>
    <w:rsid w:val="200A56DE"/>
    <w:rsid w:val="21176202"/>
    <w:rsid w:val="238D083E"/>
    <w:rsid w:val="23F11AA2"/>
    <w:rsid w:val="244F0582"/>
    <w:rsid w:val="28C7657C"/>
    <w:rsid w:val="29A853DC"/>
    <w:rsid w:val="2A6F3571"/>
    <w:rsid w:val="2AD652FE"/>
    <w:rsid w:val="2CCA7403"/>
    <w:rsid w:val="2CFA67F0"/>
    <w:rsid w:val="302057B4"/>
    <w:rsid w:val="343806AB"/>
    <w:rsid w:val="34426C35"/>
    <w:rsid w:val="35256231"/>
    <w:rsid w:val="361560D7"/>
    <w:rsid w:val="36FF4A43"/>
    <w:rsid w:val="38BA4508"/>
    <w:rsid w:val="39401169"/>
    <w:rsid w:val="3B6B3A9C"/>
    <w:rsid w:val="3C7D375B"/>
    <w:rsid w:val="3E6C55C4"/>
    <w:rsid w:val="3F056068"/>
    <w:rsid w:val="400E64BF"/>
    <w:rsid w:val="419A4C40"/>
    <w:rsid w:val="41FB7A04"/>
    <w:rsid w:val="447350DB"/>
    <w:rsid w:val="4C174C34"/>
    <w:rsid w:val="4E7C3473"/>
    <w:rsid w:val="4FBD7F14"/>
    <w:rsid w:val="4FD5728F"/>
    <w:rsid w:val="520978F3"/>
    <w:rsid w:val="522A487F"/>
    <w:rsid w:val="54926EEA"/>
    <w:rsid w:val="560B1CAC"/>
    <w:rsid w:val="56A1405A"/>
    <w:rsid w:val="59E15C36"/>
    <w:rsid w:val="5B5B779E"/>
    <w:rsid w:val="5DBB3FB7"/>
    <w:rsid w:val="608A0AE8"/>
    <w:rsid w:val="609649D1"/>
    <w:rsid w:val="61357BDD"/>
    <w:rsid w:val="63377A7A"/>
    <w:rsid w:val="68F933FC"/>
    <w:rsid w:val="6A773014"/>
    <w:rsid w:val="6C5C2CA1"/>
    <w:rsid w:val="6C8308CA"/>
    <w:rsid w:val="6CD44BBB"/>
    <w:rsid w:val="6E510020"/>
    <w:rsid w:val="72A90A45"/>
    <w:rsid w:val="747B7445"/>
    <w:rsid w:val="768714D1"/>
    <w:rsid w:val="7D3171D6"/>
    <w:rsid w:val="7DBB4035"/>
    <w:rsid w:val="7E5226AA"/>
    <w:rsid w:val="7FE13440"/>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Calibri" w:hAnsi="Calibri" w:eastAsia="宋体" w:cs="黑体"/>
      <w:sz w:val="24"/>
      <w:szCs w:val="24"/>
      <w:lang w:val="en-US" w:eastAsia="zh-CN" w:bidi="ar-SA"/>
    </w:rPr>
  </w:style>
  <w:style w:type="paragraph" w:styleId="3">
    <w:name w:val="heading 1"/>
    <w:next w:val="1"/>
    <w:unhideWhenUsed/>
    <w:qFormat/>
    <w:uiPriority w:val="99"/>
    <w:pPr>
      <w:widowControl w:val="0"/>
      <w:autoSpaceDE w:val="0"/>
      <w:autoSpaceDN w:val="0"/>
      <w:adjustRightInd w:val="0"/>
      <w:spacing w:beforeLines="0" w:afterLines="0"/>
    </w:pPr>
    <w:rPr>
      <w:rFonts w:hint="default" w:ascii="Calibri" w:hAnsi="Calibri" w:eastAsia="宋体" w:cs="黑体"/>
      <w:sz w:val="24"/>
      <w:szCs w:val="24"/>
      <w:lang w:val="en-US" w:eastAsia="zh-CN" w:bidi="ar-SA"/>
    </w:rPr>
  </w:style>
  <w:style w:type="paragraph" w:styleId="4">
    <w:name w:val="heading 2"/>
    <w:next w:val="1"/>
    <w:unhideWhenUsed/>
    <w:qFormat/>
    <w:uiPriority w:val="99"/>
    <w:pPr>
      <w:widowControl w:val="0"/>
      <w:autoSpaceDE w:val="0"/>
      <w:autoSpaceDN w:val="0"/>
      <w:adjustRightInd w:val="0"/>
      <w:spacing w:beforeLines="0" w:afterLines="0"/>
    </w:pPr>
    <w:rPr>
      <w:rFonts w:hint="default" w:ascii="Calibri" w:hAnsi="Calibri" w:eastAsia="宋体" w:cs="黑体"/>
      <w:sz w:val="24"/>
      <w:szCs w:val="24"/>
      <w:lang w:val="en-US" w:eastAsia="zh-CN" w:bidi="ar-SA"/>
    </w:rPr>
  </w:style>
  <w:style w:type="character" w:default="1" w:styleId="10">
    <w:name w:val="Default Paragraph Font"/>
    <w:semiHidden/>
    <w:qFormat/>
    <w:uiPriority w:val="0"/>
  </w:style>
  <w:style w:type="table" w:default="1" w:styleId="11">
    <w:name w:val="Normal Table"/>
    <w:semiHidden/>
    <w:qFormat/>
    <w:uiPriority w:val="0"/>
    <w:tblPr>
      <w:tblStyle w:val="11"/>
      <w:tblLayout w:type="fixed"/>
      <w:tblCellMar>
        <w:top w:w="0" w:type="dxa"/>
        <w:left w:w="108" w:type="dxa"/>
        <w:bottom w:w="0" w:type="dxa"/>
        <w:right w:w="108" w:type="dxa"/>
      </w:tblCellMar>
    </w:tblPr>
    <w:tcPr>
      <w:textDirection w:val="lrTb"/>
    </w:tcPr>
  </w:style>
  <w:style w:type="paragraph" w:styleId="2">
    <w:name w:val="footer"/>
    <w:basedOn w:val="1"/>
    <w:qFormat/>
    <w:uiPriority w:val="99"/>
    <w:pPr>
      <w:tabs>
        <w:tab w:val="center" w:pos="4153"/>
        <w:tab w:val="right" w:pos="8306"/>
      </w:tabs>
      <w:snapToGrid w:val="0"/>
      <w:jc w:val="left"/>
    </w:pPr>
    <w:rPr>
      <w:kern w:val="0"/>
      <w:sz w:val="18"/>
      <w:szCs w:val="20"/>
    </w:rPr>
  </w:style>
  <w:style w:type="paragraph" w:styleId="5">
    <w:name w:val="Normal Indent"/>
    <w:basedOn w:val="1"/>
    <w:qFormat/>
    <w:uiPriority w:val="99"/>
    <w:pPr>
      <w:widowControl/>
      <w:suppressAutoHyphens/>
      <w:autoSpaceDE w:val="0"/>
      <w:autoSpaceDN w:val="0"/>
      <w:adjustRightInd w:val="0"/>
      <w:spacing w:line="560" w:lineRule="atLeast"/>
      <w:ind w:firstLine="420"/>
    </w:pPr>
    <w:rPr>
      <w:rFonts w:ascii="仿宋_GB2312" w:hAnsi="Calibri" w:eastAsia="仿宋_GB2312" w:cs="仿宋_GB2312"/>
      <w:color w:val="auto"/>
      <w:kern w:val="0"/>
      <w:sz w:val="32"/>
      <w:szCs w:val="32"/>
    </w:rPr>
  </w:style>
  <w:style w:type="paragraph" w:styleId="6">
    <w:name w:val="Body Text"/>
    <w:basedOn w:val="1"/>
    <w:qFormat/>
    <w:uiPriority w:val="99"/>
    <w:pPr>
      <w:spacing w:beforeLines="30"/>
    </w:pPr>
    <w:rPr>
      <w:rFonts w:ascii="仿宋_GB2312" w:eastAsia="仿宋_GB2312"/>
      <w:kern w:val="0"/>
      <w:sz w:val="24"/>
      <w:szCs w:val="20"/>
    </w:rPr>
  </w:style>
  <w:style w:type="paragraph" w:styleId="7">
    <w:name w:val="Body Text Indent"/>
    <w:basedOn w:val="1"/>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12">
    <w:name w:val="TableOfAuthoring"/>
    <w:basedOn w:val="1"/>
    <w:next w:val="1"/>
    <w:qFormat/>
    <w:uiPriority w:val="0"/>
    <w:pPr>
      <w:ind w:left="200" w:leftChars="200"/>
      <w:textAlignment w:val="baseline"/>
    </w:pPr>
    <w:rPr>
      <w:rFonts w:ascii="Times New Roman" w:hAnsi="Times New Roman"/>
    </w:rPr>
  </w:style>
  <w:style w:type="paragraph" w:customStyle="1" w:styleId="1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14">
    <w:name w:val="图表目录1"/>
    <w:basedOn w:val="1"/>
    <w:next w:val="1"/>
    <w:qFormat/>
    <w:uiPriority w:val="99"/>
    <w:pPr>
      <w:ind w:left="200" w:leftChars="200" w:hanging="200" w:hangingChars="200"/>
    </w:pPr>
    <w:rPr>
      <w:rFonts w:ascii="Calibri" w:hAnsi="Calibri" w:eastAsia="宋体" w:cs="Times New Roman"/>
    </w:rPr>
  </w:style>
  <w:style w:type="paragraph" w:customStyle="1" w:styleId="15">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sz w:val="20"/>
      <w:szCs w:val="20"/>
      <w:lang w:val="en-US" w:eastAsia="zh-CN" w:bidi="ar-SA"/>
    </w:rPr>
  </w:style>
  <w:style w:type="character" w:customStyle="1" w:styleId="17">
    <w:name w:val="font61"/>
    <w:basedOn w:val="10"/>
    <w:qFormat/>
    <w:uiPriority w:val="0"/>
    <w:rPr>
      <w:rFonts w:hint="eastAsia" w:ascii="宋体" w:hAnsi="宋体" w:eastAsia="宋体" w:cs="宋体"/>
      <w:color w:val="000000"/>
      <w:sz w:val="18"/>
      <w:szCs w:val="18"/>
      <w:u w:val="none"/>
    </w:rPr>
  </w:style>
  <w:style w:type="character" w:customStyle="1" w:styleId="18">
    <w:name w:val="font3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27929</Words>
  <Characters>29881</Characters>
  <Lines>0</Lines>
  <Paragraphs>0</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2023-09-06T17:02:00Z</dcterms:created>
  <dc:creator>Administrator</dc:creator>
  <cp:lastModifiedBy>ALICAY</cp:lastModifiedBy>
  <cp:lastPrinted>2023-09-28T01:09:00Z</cp:lastPrinted>
  <dcterms:modified xsi:type="dcterms:W3CDTF">2024-04-29T01:10:42Z</dcterms:modified>
  <dc:title>广元市城市管理行政执法局部门决算编制说明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169F97E769DC473A82999BDDDFE34281_13</vt:lpwstr>
  </property>
</Properties>
</file>