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425"/>
      <w:bookmarkStart w:id="4" w:name="_Toc15377193"/>
      <w:bookmarkStart w:id="5"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78442"/>
      <w:bookmarkStart w:id="9" w:name="_Toc15377426"/>
      <w:bookmarkStart w:id="10" w:name="_Toc15396598"/>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lang w:eastAsia="zh-CN"/>
        </w:rPr>
        <w:t>生活垃圾分类</w:t>
      </w:r>
      <w:r>
        <w:rPr>
          <w:rFonts w:hint="eastAsia" w:ascii="方正小标宋简体" w:hAnsi="方正小标宋简体" w:eastAsia="方正小标宋简体" w:cs="方正小标宋简体"/>
          <w:sz w:val="72"/>
          <w:szCs w:val="72"/>
        </w:rPr>
        <w:t>中心</w:t>
      </w:r>
    </w:p>
    <w:p>
      <w:pPr>
        <w:adjustRightInd w:val="0"/>
        <w:snapToGrid w:val="0"/>
        <w:spacing w:line="360" w:lineRule="auto"/>
        <w:jc w:val="center"/>
        <w:outlineLvl w:val="0"/>
        <w:rPr>
          <w:rFonts w:ascii="方正小标宋简体" w:hAnsi="宋体" w:eastAsia="方正小标宋简体" w:cs="方正小标宋简体"/>
          <w:color w:val="000000"/>
          <w:sz w:val="72"/>
          <w:szCs w:val="72"/>
        </w:rPr>
      </w:pPr>
    </w:p>
    <w:p>
      <w:pPr>
        <w:pStyle w:val="6"/>
        <w:spacing w:before="93"/>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w:t>
      </w:r>
      <w:r>
        <w:rPr>
          <w:rFonts w:hint="eastAsia"/>
          <w:lang w:val="en-US" w:eastAsia="zh-CN"/>
        </w:rPr>
        <w:t>3</w:t>
      </w:r>
      <w:r>
        <w:rPr>
          <w:rFonts w:hint="eastAsia"/>
        </w:rPr>
        <w:t>年</w:t>
      </w:r>
      <w:r>
        <w:rPr>
          <w:rFonts w:hint="eastAsia"/>
          <w:lang w:val="en-US" w:eastAsia="zh-CN"/>
        </w:rPr>
        <w:t>10</w:t>
      </w:r>
      <w:r>
        <w:rPr>
          <w:rFonts w:hint="eastAsia"/>
        </w:rPr>
        <w:t>月</w:t>
      </w:r>
      <w:r>
        <w:rPr>
          <w:rFonts w:hint="eastAsia"/>
          <w:lang w:val="en-US" w:eastAsia="zh-CN"/>
        </w:rPr>
        <w:t>16</w:t>
      </w:r>
      <w:bookmarkStart w:id="67" w:name="_GoBack"/>
      <w:bookmarkEnd w:id="67"/>
      <w:r>
        <w:rPr>
          <w:rFonts w:hint="eastAsia"/>
        </w:rPr>
        <w:t>日</w:t>
      </w:r>
    </w:p>
    <w:p/>
    <w:p>
      <w:pPr>
        <w:pStyle w:val="10"/>
        <w:adjustRightInd w:val="0"/>
        <w:snapToGrid w:val="0"/>
        <w:spacing w:before="0" w:line="440" w:lineRule="exact"/>
        <w:jc w:val="right"/>
        <w:rPr>
          <w:rFonts w:cstheme="minorBidi"/>
          <w:sz w:val="24"/>
          <w:szCs w:val="24"/>
        </w:rPr>
      </w:pPr>
      <w:r>
        <w:rPr>
          <w:rFonts w:hint="eastAsia" w:ascii="方正黑体简体" w:hAnsi="方正黑体简体" w:eastAsia="方正黑体简体" w:cs="方正黑体简体"/>
          <w:sz w:val="32"/>
          <w:szCs w:val="32"/>
        </w:rPr>
        <w:t xml:space="preserve">第一部分 </w:t>
      </w:r>
      <w:r>
        <w:rPr>
          <w:rFonts w:hint="eastAsia" w:ascii="方正黑体简体" w:hAnsi="方正黑体简体" w:eastAsia="方正黑体简体" w:cs="方正黑体简体"/>
          <w:sz w:val="32"/>
          <w:szCs w:val="32"/>
          <w:lang w:eastAsia="zh-CN"/>
        </w:rPr>
        <w:t>单位</w:t>
      </w:r>
      <w:r>
        <w:rPr>
          <w:rFonts w:hint="eastAsia" w:ascii="方正黑体简体" w:hAnsi="方正黑体简体" w:eastAsia="方正黑体简体" w:cs="方正黑体简体"/>
          <w:sz w:val="32"/>
          <w:szCs w:val="32"/>
        </w:rPr>
        <w:t xml:space="preserve">概况 </w:t>
      </w:r>
      <w:r>
        <w:rPr>
          <w:rFonts w:hint="eastAsia" w:ascii="仿宋_GB2312" w:hAnsi="仿宋_GB2312" w:eastAsia="仿宋_GB2312" w:cs="仿宋_GB2312"/>
          <w:sz w:val="32"/>
          <w:szCs w:val="32"/>
        </w:rPr>
        <w:t>…………………………………………4</w:t>
      </w:r>
    </w:p>
    <w:p>
      <w:pPr>
        <w:pStyle w:val="12"/>
        <w:adjustRightInd w:val="0"/>
        <w:snapToGrid w:val="0"/>
        <w:spacing w:line="560" w:lineRule="exact"/>
        <w:jc w:val="right"/>
        <w:rPr>
          <w:rFonts w:ascii="仿宋_GB2312" w:hAnsi="仿宋_GB2312" w:eastAsia="仿宋_GB2312" w:cs="仿宋_GB2312"/>
          <w:sz w:val="32"/>
          <w:szCs w:val="32"/>
        </w:rPr>
      </w:pPr>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eastAsia="zh-CN"/>
        </w:rPr>
        <w:t>主要职责</w:t>
      </w:r>
      <w:r>
        <w:rPr>
          <w:rFonts w:hint="eastAsia" w:ascii="仿宋_GB2312" w:hAnsi="仿宋_GB2312" w:eastAsia="仿宋_GB2312" w:cs="仿宋_GB2312"/>
          <w:sz w:val="32"/>
          <w:szCs w:val="32"/>
        </w:rPr>
        <w:t>………………………………………………4</w:t>
      </w:r>
    </w:p>
    <w:p>
      <w:pPr>
        <w:pStyle w:val="12"/>
        <w:adjustRightInd w:val="0"/>
        <w:snapToGrid w:val="0"/>
        <w:spacing w:line="560" w:lineRule="exact"/>
        <w:jc w:val="right"/>
        <w:rPr>
          <w:rFonts w:hint="eastAsia" w:ascii="仿宋_GB2312" w:hAnsi="仿宋_GB2312" w:eastAsia="仿宋_GB2312" w:cs="仿宋_GB2312"/>
          <w:sz w:val="32"/>
          <w:szCs w:val="32"/>
          <w:lang w:eastAsia="zh-CN"/>
        </w:rPr>
      </w:pPr>
      <w:r>
        <w:rPr>
          <w:rFonts w:hint="eastAsia" w:ascii="方正楷体简体" w:hAnsi="方正楷体简体" w:eastAsia="方正楷体简体" w:cs="方正楷体简体"/>
          <w:sz w:val="32"/>
          <w:szCs w:val="32"/>
        </w:rPr>
        <w:t>二、</w:t>
      </w:r>
      <w:r>
        <w:rPr>
          <w:rFonts w:hint="eastAsia" w:ascii="方正楷体简体" w:hAnsi="方正楷体简体" w:eastAsia="方正楷体简体" w:cs="方正楷体简体"/>
          <w:sz w:val="32"/>
          <w:szCs w:val="32"/>
          <w:lang w:val="en-US" w:eastAsia="zh-CN"/>
        </w:rPr>
        <w:t>机构设置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p>
    <w:p>
      <w:pPr>
        <w:pStyle w:val="10"/>
        <w:adjustRightInd w:val="0"/>
        <w:snapToGrid w:val="0"/>
        <w:spacing w:before="0" w:line="440" w:lineRule="exact"/>
        <w:jc w:val="right"/>
        <w:rPr>
          <w:rFonts w:hint="eastAsia" w:ascii="方正黑体简体" w:hAnsi="方正黑体简体" w:eastAsia="仿宋_GB2312" w:cs="方正黑体简体"/>
          <w:sz w:val="32"/>
          <w:szCs w:val="32"/>
          <w:lang w:eastAsia="zh-CN"/>
        </w:rPr>
      </w:pPr>
      <w:r>
        <w:rPr>
          <w:rFonts w:hint="eastAsia" w:ascii="方正黑体简体" w:hAnsi="方正黑体简体" w:eastAsia="方正黑体简体" w:cs="方正黑体简体"/>
          <w:sz w:val="32"/>
          <w:szCs w:val="32"/>
        </w:rPr>
        <w:t>第二部分 202</w:t>
      </w:r>
      <w:r>
        <w:rPr>
          <w:rFonts w:hint="eastAsia" w:ascii="方正黑体简体" w:hAnsi="方正黑体简体" w:eastAsia="方正黑体简体" w:cs="方正黑体简体"/>
          <w:sz w:val="32"/>
          <w:szCs w:val="32"/>
          <w:lang w:val="en-US" w:eastAsia="zh-CN"/>
        </w:rPr>
        <w:t>2</w:t>
      </w:r>
      <w:r>
        <w:rPr>
          <w:rFonts w:hint="eastAsia" w:ascii="方正黑体简体" w:hAnsi="方正黑体简体" w:eastAsia="方正黑体简体" w:cs="方正黑体简体"/>
          <w:sz w:val="32"/>
          <w:szCs w:val="32"/>
        </w:rPr>
        <w:t>年度</w:t>
      </w:r>
      <w:r>
        <w:rPr>
          <w:rFonts w:hint="eastAsia" w:ascii="方正黑体简体" w:hAnsi="方正黑体简体" w:eastAsia="方正黑体简体" w:cs="方正黑体简体"/>
          <w:sz w:val="32"/>
          <w:szCs w:val="32"/>
          <w:lang w:eastAsia="zh-CN"/>
        </w:rPr>
        <w:t>单位</w:t>
      </w:r>
      <w:r>
        <w:rPr>
          <w:rFonts w:hint="eastAsia" w:ascii="方正黑体简体" w:hAnsi="方正黑体简体" w:eastAsia="方正黑体简体" w:cs="方正黑体简体"/>
          <w:sz w:val="32"/>
          <w:szCs w:val="32"/>
        </w:rPr>
        <w:t>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pPr>
        <w:pStyle w:val="12"/>
        <w:adjustRightInd w:val="0"/>
        <w:snapToGrid w:val="0"/>
        <w:spacing w:line="560" w:lineRule="exact"/>
        <w:jc w:val="right"/>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一、收入支出决算总体情况说明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pPr>
        <w:pStyle w:val="12"/>
        <w:adjustRightInd w:val="0"/>
        <w:snapToGrid w:val="0"/>
        <w:spacing w:line="560" w:lineRule="exact"/>
        <w:jc w:val="right"/>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二、收入决算情况说明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pPr>
        <w:pStyle w:val="12"/>
        <w:adjustRightInd w:val="0"/>
        <w:snapToGrid w:val="0"/>
        <w:spacing w:line="560" w:lineRule="exact"/>
        <w:jc w:val="right"/>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三、支出决算情况说明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p>
    <w:p>
      <w:pPr>
        <w:pStyle w:val="12"/>
        <w:adjustRightInd w:val="0"/>
        <w:snapToGrid w:val="0"/>
        <w:spacing w:line="560" w:lineRule="exact"/>
        <w:jc w:val="right"/>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四、财政拨款收入支出决算总体情况说明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p>
    <w:p>
      <w:pPr>
        <w:pStyle w:val="12"/>
        <w:adjustRightInd w:val="0"/>
        <w:snapToGrid w:val="0"/>
        <w:spacing w:line="560" w:lineRule="exact"/>
        <w:jc w:val="right"/>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五、一般公共预算财政拨款支出决算情况说明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p>
    <w:p>
      <w:pPr>
        <w:pStyle w:val="12"/>
        <w:tabs>
          <w:tab w:val="right" w:leader="dot" w:pos="8200"/>
          <w:tab w:val="clear" w:pos="8296"/>
        </w:tabs>
        <w:adjustRightInd w:val="0"/>
        <w:snapToGrid w:val="0"/>
        <w:spacing w:line="560" w:lineRule="exact"/>
        <w:ind w:right="-92" w:rightChars="-44"/>
        <w:jc w:val="center"/>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六</w:t>
      </w:r>
      <w:r>
        <w:rPr>
          <w:rFonts w:hint="eastAsia" w:ascii="方正楷体简体" w:hAnsi="方正楷体简体" w:eastAsia="方正楷体简体" w:cs="方正楷体简体"/>
          <w:w w:val="90"/>
          <w:sz w:val="32"/>
          <w:szCs w:val="32"/>
        </w:rPr>
        <w:t>、</w:t>
      </w:r>
      <w:r>
        <w:rPr>
          <w:rFonts w:hint="eastAsia" w:ascii="方正楷体简体" w:hAnsi="方正楷体简体" w:eastAsia="方正楷体简体" w:cs="方正楷体简体"/>
          <w:sz w:val="32"/>
          <w:szCs w:val="32"/>
        </w:rPr>
        <w:t>一般公共预算财政拨款基本支出决算情况说明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p>
    <w:p>
      <w:pPr>
        <w:pStyle w:val="12"/>
        <w:adjustRightInd w:val="0"/>
        <w:snapToGrid w:val="0"/>
        <w:spacing w:line="560" w:lineRule="exact"/>
        <w:jc w:val="both"/>
        <w:rPr>
          <w:rFonts w:hint="eastAsia" w:ascii="仿宋_GB2312" w:hAnsi="仿宋_GB2312" w:eastAsia="仿宋_GB2312" w:cs="仿宋_GB2312"/>
          <w:sz w:val="32"/>
          <w:szCs w:val="32"/>
          <w:lang w:eastAsia="zh-CN"/>
        </w:rPr>
      </w:pPr>
      <w:r>
        <w:rPr>
          <w:rFonts w:hint="eastAsia" w:ascii="方正楷体简体" w:hAnsi="方正楷体简体" w:eastAsia="方正楷体简体" w:cs="方正楷体简体"/>
          <w:sz w:val="32"/>
          <w:szCs w:val="32"/>
        </w:rPr>
        <w:t>七、</w:t>
      </w:r>
      <w:r>
        <w:rPr>
          <w:rFonts w:hint="eastAsia" w:ascii="方正楷体简体" w:hAnsi="方正楷体简体" w:eastAsia="方正楷体简体" w:cs="方正楷体简体"/>
          <w:sz w:val="32"/>
          <w:szCs w:val="32"/>
          <w:lang w:val="en-US" w:eastAsia="zh-CN"/>
        </w:rPr>
        <w:t>财政拨款</w:t>
      </w:r>
      <w:r>
        <w:rPr>
          <w:rFonts w:hint="eastAsia" w:ascii="方正楷体简体" w:hAnsi="方正楷体简体" w:eastAsia="方正楷体简体" w:cs="方正楷体简体"/>
          <w:sz w:val="32"/>
          <w:szCs w:val="32"/>
        </w:rPr>
        <w:t>“三公”经费支出决算情况说明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p>
    <w:p>
      <w:pPr>
        <w:pStyle w:val="12"/>
        <w:adjustRightInd w:val="0"/>
        <w:snapToGrid w:val="0"/>
        <w:spacing w:line="560" w:lineRule="exact"/>
        <w:jc w:val="left"/>
        <w:rPr>
          <w:rFonts w:hint="eastAsia" w:ascii="方正楷体简体" w:hAnsi="方正楷体简体" w:eastAsia="仿宋_GB2312" w:cs="方正楷体简体"/>
          <w:sz w:val="32"/>
          <w:szCs w:val="32"/>
          <w:lang w:eastAsia="zh-CN"/>
        </w:rPr>
      </w:pPr>
      <w:r>
        <w:rPr>
          <w:rFonts w:hint="eastAsia" w:ascii="方正楷体简体" w:hAnsi="方正楷体简体" w:eastAsia="方正楷体简体" w:cs="方正楷体简体"/>
          <w:sz w:val="32"/>
          <w:szCs w:val="32"/>
        </w:rPr>
        <w:t>八、政府性基金预算支出决算情况说明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方正楷体简体" w:hAnsi="方正楷体简体" w:eastAsia="方正楷体简体" w:cs="方正楷体简体"/>
          <w:sz w:val="32"/>
          <w:szCs w:val="32"/>
        </w:rPr>
        <w:t>九、国有资本经营预算支出决算情况说明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p>
    <w:p>
      <w:pPr>
        <w:pStyle w:val="12"/>
        <w:adjustRightInd w:val="0"/>
        <w:snapToGrid w:val="0"/>
        <w:spacing w:line="560" w:lineRule="exact"/>
        <w:jc w:val="left"/>
        <w:rPr>
          <w:rFonts w:hint="eastAsia" w:ascii="方正楷体简体" w:hAnsi="方正楷体简体" w:eastAsia="仿宋_GB2312" w:cs="方正楷体简体"/>
          <w:sz w:val="32"/>
          <w:szCs w:val="32"/>
          <w:lang w:val="en-US" w:eastAsia="zh-CN"/>
        </w:rPr>
      </w:pPr>
      <w:r>
        <w:rPr>
          <w:rFonts w:hint="eastAsia" w:ascii="方正楷体简体" w:hAnsi="方正楷体简体" w:eastAsia="方正楷体简体" w:cs="方正楷体简体"/>
          <w:sz w:val="32"/>
          <w:szCs w:val="32"/>
        </w:rPr>
        <w:t>十、其他重要事项的情况</w:t>
      </w:r>
      <w:r>
        <w:rPr>
          <w:rFonts w:hint="eastAsia" w:ascii="方正楷体简体" w:hAnsi="方正楷体简体" w:eastAsia="方正楷体简体" w:cs="方正楷体简体"/>
          <w:sz w:val="32"/>
          <w:szCs w:val="32"/>
          <w:lang w:eastAsia="zh-CN"/>
        </w:rPr>
        <w:t>说</w:t>
      </w:r>
      <w:r>
        <w:rPr>
          <w:rFonts w:hint="eastAsia" w:ascii="方正楷体简体" w:hAnsi="方正楷体简体" w:eastAsia="方正楷体简体" w:cs="方正楷体简体"/>
          <w:sz w:val="32"/>
          <w:szCs w:val="32"/>
        </w:rPr>
        <w:t>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p>
    <w:p>
      <w:pPr>
        <w:pStyle w:val="10"/>
        <w:adjustRightInd w:val="0"/>
        <w:snapToGrid w:val="0"/>
        <w:spacing w:before="0" w:line="440" w:lineRule="exact"/>
        <w:jc w:val="right"/>
        <w:rPr>
          <w:rFonts w:hint="eastAsia" w:eastAsia="仿宋_GB2312" w:cstheme="minorBidi"/>
          <w:sz w:val="24"/>
          <w:szCs w:val="24"/>
          <w:lang w:eastAsia="zh-CN"/>
        </w:rPr>
      </w:pPr>
      <w:r>
        <w:rPr>
          <w:rFonts w:hint="eastAsia" w:ascii="方正黑体简体" w:hAnsi="方正黑体简体" w:eastAsia="方正黑体简体" w:cs="方正黑体简体"/>
          <w:sz w:val="32"/>
          <w:szCs w:val="32"/>
        </w:rPr>
        <w:t>第三部分 名词解释</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pPr>
        <w:pStyle w:val="10"/>
        <w:adjustRightInd w:val="0"/>
        <w:snapToGrid w:val="0"/>
        <w:spacing w:before="0" w:line="440" w:lineRule="exact"/>
        <w:jc w:val="right"/>
        <w:rPr>
          <w:rFonts w:hint="eastAsia" w:ascii="方正黑体简体" w:hAnsi="方正黑体简体" w:eastAsia="仿宋_GB2312" w:cs="方正黑体简体"/>
          <w:sz w:val="32"/>
          <w:szCs w:val="32"/>
          <w:lang w:eastAsia="zh-CN"/>
        </w:rPr>
      </w:pPr>
      <w:r>
        <w:rPr>
          <w:rFonts w:hint="eastAsia" w:ascii="方正黑体简体" w:hAnsi="方正黑体简体" w:eastAsia="方正黑体简体" w:cs="方正黑体简体"/>
          <w:sz w:val="32"/>
          <w:szCs w:val="32"/>
        </w:rPr>
        <w:t>第四部分 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p>
    <w:p>
      <w:pPr>
        <w:pStyle w:val="10"/>
        <w:adjustRightInd w:val="0"/>
        <w:snapToGrid w:val="0"/>
        <w:spacing w:before="0" w:line="440" w:lineRule="exact"/>
        <w:jc w:val="right"/>
        <w:rPr>
          <w:rFonts w:hint="eastAsia" w:ascii="方正黑体简体" w:hAnsi="方正黑体简体" w:eastAsia="仿宋_GB2312" w:cs="方正黑体简体"/>
          <w:sz w:val="32"/>
          <w:szCs w:val="32"/>
          <w:lang w:eastAsia="zh-CN"/>
        </w:rPr>
      </w:pPr>
      <w:r>
        <w:rPr>
          <w:rFonts w:hint="eastAsia" w:ascii="方正黑体简体" w:hAnsi="方正黑体简体" w:eastAsia="方正黑体简体" w:cs="方正黑体简体"/>
          <w:sz w:val="32"/>
          <w:szCs w:val="32"/>
        </w:rPr>
        <w:t>第五部分 附表</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四、财政拨款收入支出决算总表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五、财政拨款支出决算明细表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六、一般公共预算财政拨款支出决算表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七、一般公共预算财政拨款支出决算明细表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八、一般公共预算财政拨款基本支出决算</w:t>
      </w:r>
      <w:r>
        <w:rPr>
          <w:rFonts w:hint="eastAsia" w:ascii="方正楷体简体" w:hAnsi="方正楷体简体" w:eastAsia="方正楷体简体" w:cs="方正楷体简体"/>
          <w:sz w:val="32"/>
          <w:szCs w:val="32"/>
          <w:lang w:val="en-US" w:eastAsia="zh-CN"/>
        </w:rPr>
        <w:t>明细</w:t>
      </w:r>
      <w:r>
        <w:rPr>
          <w:rFonts w:hint="eastAsia" w:ascii="方正楷体简体" w:hAnsi="方正楷体简体" w:eastAsia="方正楷体简体" w:cs="方正楷体简体"/>
          <w:sz w:val="32"/>
          <w:szCs w:val="32"/>
        </w:rPr>
        <w:t>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九、一般公共预算财政拨款项目支出决算表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十、政府性基金预算财政拨款收入支出决算表</w:t>
      </w:r>
    </w:p>
    <w:p>
      <w:pPr>
        <w:pStyle w:val="12"/>
        <w:adjustRightInd w:val="0"/>
        <w:snapToGrid w:val="0"/>
        <w:spacing w:line="560" w:lineRule="exact"/>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十一、国有资本经营预算财政拨款收入支出决算表</w:t>
      </w:r>
    </w:p>
    <w:p>
      <w:pPr>
        <w:pStyle w:val="12"/>
        <w:adjustRightInd w:val="0"/>
        <w:snapToGrid w:val="0"/>
        <w:spacing w:line="560" w:lineRule="exact"/>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十二、国有资本经营预算财政拨款支出决算表</w:t>
      </w:r>
    </w:p>
    <w:p>
      <w:pPr>
        <w:pStyle w:val="12"/>
        <w:adjustRightInd w:val="0"/>
        <w:snapToGrid w:val="0"/>
        <w:spacing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十三、财政拨款“三公”经费支出决算表</w:t>
      </w:r>
    </w:p>
    <w:p>
      <w:pPr>
        <w:pStyle w:val="12"/>
        <w:adjustRightInd w:val="0"/>
        <w:snapToGrid w:val="0"/>
        <w:spacing w:line="560" w:lineRule="exact"/>
        <w:jc w:val="left"/>
        <w:rPr>
          <w:rFonts w:ascii="方正楷体简体" w:hAnsi="方正楷体简体" w:eastAsia="方正楷体简体" w:cs="方正楷体简体"/>
          <w:sz w:val="32"/>
          <w:szCs w:val="32"/>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2"/>
      </w:pPr>
    </w:p>
    <w:p>
      <w:pPr>
        <w:pStyle w:val="32"/>
        <w:rPr>
          <w:rFonts w:hint="default"/>
        </w:rPr>
      </w:pPr>
      <w:r>
        <w:t xml:space="preserve">第一部分 </w:t>
      </w:r>
      <w:r>
        <w:rPr>
          <w:rFonts w:hint="eastAsia"/>
          <w:lang w:eastAsia="zh-CN"/>
        </w:rPr>
        <w:t>单位</w:t>
      </w:r>
      <w:r>
        <w:t>概况</w:t>
      </w:r>
      <w:bookmarkEnd w:id="12"/>
      <w:bookmarkEnd w:id="13"/>
    </w:p>
    <w:p>
      <w:pPr>
        <w:widowControl/>
        <w:jc w:val="left"/>
        <w:rPr>
          <w:rFonts w:asci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方正黑体简体" w:hAnsi="方正黑体简体" w:eastAsia="方正黑体简体" w:cs="方正黑体简体"/>
          <w:sz w:val="32"/>
          <w:szCs w:val="40"/>
          <w:lang w:eastAsia="zh-CN"/>
        </w:rPr>
      </w:pPr>
      <w:bookmarkStart w:id="14" w:name="_Toc15396600"/>
      <w:bookmarkStart w:id="15" w:name="_Toc15377197"/>
      <w:r>
        <w:rPr>
          <w:rFonts w:hint="eastAsia" w:ascii="方正黑体简体" w:hAnsi="方正黑体简体" w:eastAsia="方正黑体简体" w:cs="方正黑体简体"/>
          <w:sz w:val="32"/>
          <w:szCs w:val="40"/>
          <w:lang w:eastAsia="zh-CN"/>
        </w:rPr>
        <w:t>一、主要职责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承担市城市生活垃圾分类工作推进领导小组办公室日常工作，组织实施城市生活垃圾分类，指导县区生活垃圾分类工作；指导城市市容环境卫生工作，参与环境卫生项目论证和生活垃圾收运处置场地运营监管等事务职责</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eastAsia="zh-CN"/>
        </w:rPr>
        <w:t>二、</w:t>
      </w:r>
      <w:bookmarkEnd w:id="14"/>
      <w:bookmarkEnd w:id="15"/>
      <w:r>
        <w:rPr>
          <w:rFonts w:hint="eastAsia" w:ascii="方正黑体简体" w:hAnsi="方正黑体简体" w:eastAsia="方正黑体简体" w:cs="方正黑体简体"/>
          <w:sz w:val="32"/>
          <w:szCs w:val="40"/>
          <w:lang w:val="en-US" w:eastAsia="zh-CN"/>
        </w:rPr>
        <w:t>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lang w:eastAsia="zh-CN"/>
        </w:rPr>
        <w:t>市生活垃圾分类中心为市城市管理行政执法局管理的公益一类事业单位，实行“收支统管、全额保障”的预算管理办法，主要负责人职级为正科级</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p>
    <w:p>
      <w:pPr>
        <w:widowControl/>
        <w:spacing w:line="576" w:lineRule="exact"/>
        <w:ind w:firstLine="640" w:firstLineChars="200"/>
        <w:jc w:val="left"/>
        <w:rPr>
          <w:rFonts w:ascii="仿宋" w:hAnsi="仿宋" w:eastAsia="仿宋"/>
          <w:kern w:val="0"/>
          <w:sz w:val="32"/>
          <w:szCs w:val="32"/>
        </w:rPr>
      </w:pPr>
      <w:r>
        <w:rPr>
          <w:rFonts w:ascii="仿宋" w:hAnsi="仿宋" w:eastAsia="仿宋"/>
          <w:sz w:val="32"/>
          <w:szCs w:val="32"/>
        </w:rPr>
        <w:br w:type="page"/>
      </w:r>
    </w:p>
    <w:p>
      <w:pPr>
        <w:bidi w:val="0"/>
        <w:rPr>
          <w:rFonts w:hint="eastAsia"/>
        </w:rPr>
      </w:pPr>
      <w:bookmarkStart w:id="16" w:name="_Toc15396602"/>
      <w:bookmarkStart w:id="17" w:name="_Toc15377204"/>
    </w:p>
    <w:p>
      <w:pPr>
        <w:pStyle w:val="3"/>
        <w:ind w:right="440"/>
        <w:jc w:val="center"/>
        <w:rPr>
          <w:rFonts w:ascii="方正小标宋简体" w:hAnsi="方正小标宋简体" w:eastAsia="方正小标宋简体" w:cs="方正小标宋简体"/>
          <w:b w:val="0"/>
          <w:bCs w:val="0"/>
          <w:kern w:val="2"/>
        </w:rPr>
      </w:pPr>
      <w:r>
        <w:rPr>
          <w:rFonts w:hint="eastAsia" w:ascii="方正小标宋简体" w:hAnsi="方正小标宋简体" w:eastAsia="方正小标宋简体" w:cs="方正小标宋简体"/>
          <w:b w:val="0"/>
          <w:bCs w:val="0"/>
          <w:kern w:val="2"/>
        </w:rPr>
        <w:t>第二部分 202</w:t>
      </w:r>
      <w:r>
        <w:rPr>
          <w:rFonts w:hint="eastAsia" w:ascii="方正小标宋简体" w:hAnsi="方正小标宋简体" w:eastAsia="方正小标宋简体" w:cs="方正小标宋简体"/>
          <w:b w:val="0"/>
          <w:bCs w:val="0"/>
          <w:kern w:val="2"/>
          <w:lang w:val="en-US" w:eastAsia="zh-CN"/>
        </w:rPr>
        <w:t>2</w:t>
      </w:r>
      <w:r>
        <w:rPr>
          <w:rFonts w:hint="eastAsia" w:ascii="方正小标宋简体" w:hAnsi="方正小标宋简体" w:eastAsia="方正小标宋简体" w:cs="方正小标宋简体"/>
          <w:b w:val="0"/>
          <w:bCs w:val="0"/>
          <w:kern w:val="2"/>
        </w:rPr>
        <w:t>年度单位决算情况说明</w:t>
      </w:r>
      <w:bookmarkEnd w:id="16"/>
      <w:bookmarkEnd w:id="17"/>
    </w:p>
    <w:p/>
    <w:p>
      <w:pPr>
        <w:pStyle w:val="25"/>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361" w:firstLineChars="0"/>
        <w:textAlignment w:val="auto"/>
        <w:outlineLvl w:val="1"/>
        <w:rPr>
          <w:rFonts w:ascii="方正黑体简体" w:hAnsi="方正黑体简体" w:eastAsia="方正黑体简体" w:cs="方正黑体简体"/>
          <w:sz w:val="32"/>
          <w:szCs w:val="32"/>
        </w:rPr>
      </w:pPr>
      <w:bookmarkStart w:id="18" w:name="_Toc15396603"/>
      <w:bookmarkStart w:id="19" w:name="_Toc15377205"/>
      <w:r>
        <w:rPr>
          <w:rFonts w:hint="eastAsia" w:ascii="方正黑体简体" w:hAnsi="方正黑体简体" w:eastAsia="方正黑体简体" w:cs="方正黑体简体"/>
          <w:sz w:val="32"/>
          <w:szCs w:val="32"/>
        </w:rPr>
        <w:t>收入支出决算总体情况说明</w:t>
      </w:r>
      <w:bookmarkEnd w:id="18"/>
      <w:bookmarkEnd w:id="19"/>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200.72</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200.72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2022年新成立的独立预算单位</w:t>
      </w:r>
      <w:r>
        <w:rPr>
          <w:rFonts w:hint="eastAsia" w:ascii="仿宋_GB2312" w:hAnsi="仿宋_GB2312" w:eastAsia="仿宋_GB2312" w:cs="仿宋_GB2312"/>
          <w:sz w:val="32"/>
          <w:szCs w:val="32"/>
        </w:rPr>
        <w:t>。</w:t>
      </w:r>
    </w:p>
    <w:p>
      <w:pPr>
        <w:spacing w:line="576" w:lineRule="exact"/>
        <w:ind w:firstLine="420" w:firstLineChars="200"/>
        <w:jc w:val="center"/>
        <w:rPr>
          <w:rFonts w:ascii="仿宋_GB2312" w:hAnsi="仿宋_GB2312" w:eastAsia="仿宋_GB2312" w:cs="仿宋_GB2312"/>
          <w:sz w:val="32"/>
          <w:szCs w:val="32"/>
        </w:rPr>
      </w:pPr>
      <w:r>
        <mc:AlternateContent>
          <mc:Choice Requires="wps">
            <w:drawing>
              <wp:anchor distT="0" distB="0" distL="114300" distR="114300" simplePos="0" relativeHeight="251667456" behindDoc="0" locked="0" layoutInCell="1" allowOverlap="1">
                <wp:simplePos x="0" y="0"/>
                <wp:positionH relativeFrom="column">
                  <wp:posOffset>4232910</wp:posOffset>
                </wp:positionH>
                <wp:positionV relativeFrom="paragraph">
                  <wp:posOffset>245110</wp:posOffset>
                </wp:positionV>
                <wp:extent cx="838200" cy="275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38200" cy="275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3pt;margin-top:19.3pt;height:21.7pt;width:66pt;z-index:251667456;mso-width-relative:page;mso-height-relative:page;" filled="f" stroked="f" coordsize="21600,21600" o:gfxdata="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pFnLZAAAACQEAAA8AAAAAAAAAAQAgAAAAIgAAAGRy&#10;cy9kb3ducmV2LnhtbFBLAQIUABQAAAAIAIdO4kCq+FwoPQIAAGUEAAAOAAAAAAAAAAEAIAAAACgB&#10;AABkcnMvZTJvRG9jLnhtbFBLBQYAAAAABgAGAFkBAADXBQAAAAA=&#10;">
                <v:fill on="f" focussize="0,0"/>
                <v:stroke on="f" weight="0.5pt"/>
                <v:imagedata o:title=""/>
                <o:lock v:ext="edit" aspectratio="f"/>
                <v:textbox>
                  <w:txbxContent>
                    <w:p>
                      <w:r>
                        <w:rPr>
                          <w:rFonts w:hint="eastAsia"/>
                        </w:rPr>
                        <w:t>单位：万元</w:t>
                      </w:r>
                    </w:p>
                  </w:txbxContent>
                </v:textbox>
              </v:shape>
            </w:pict>
          </mc:Fallback>
        </mc:AlternateContent>
      </w: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439420</wp:posOffset>
            </wp:positionH>
            <wp:positionV relativeFrom="paragraph">
              <wp:posOffset>184785</wp:posOffset>
            </wp:positionV>
            <wp:extent cx="4727575" cy="3333750"/>
            <wp:effectExtent l="0" t="0" r="15875"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sz w:val="32"/>
          <w:szCs w:val="32"/>
        </w:rPr>
        <w:t>图1：收、支决算总计变动情况</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361" w:firstLineChars="0"/>
        <w:textAlignment w:val="auto"/>
        <w:outlineLvl w:val="1"/>
        <w:rPr>
          <w:rStyle w:val="27"/>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200.72</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lang w:val="en"/>
        </w:rPr>
        <w:t>20</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719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99.998</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0.0044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lang w:val="en"/>
        </w:rPr>
        <w:t>0.002</w:t>
      </w:r>
      <w:r>
        <w:rPr>
          <w:rFonts w:hint="eastAsia" w:ascii="仿宋_GB2312" w:hAnsi="仿宋_GB2312" w:eastAsia="仿宋_GB2312" w:cs="仿宋_GB2312"/>
          <w:sz w:val="32"/>
          <w:szCs w:val="32"/>
        </w:rPr>
        <w:t>%。</w:t>
      </w:r>
    </w:p>
    <w:p>
      <w:pPr>
        <w:pStyle w:val="6"/>
        <w:spacing w:before="93"/>
      </w:pPr>
    </w:p>
    <w:p>
      <w:pPr>
        <w:pStyle w:val="6"/>
        <w:spacing w:before="93"/>
        <w:rPr>
          <w:rFonts w:hint="default" w:hAnsi="仿宋_GB2312" w:cs="仿宋_GB2312"/>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4148455</wp:posOffset>
                </wp:positionH>
                <wp:positionV relativeFrom="paragraph">
                  <wp:posOffset>186690</wp:posOffset>
                </wp:positionV>
                <wp:extent cx="838200" cy="275590"/>
                <wp:effectExtent l="0" t="0" r="0" b="0"/>
                <wp:wrapNone/>
                <wp:docPr id="5" name="文本框 5"/>
                <wp:cNvGraphicFramePr/>
                <a:graphic xmlns:a="http://schemas.openxmlformats.org/drawingml/2006/main">
                  <a:graphicData uri="http://schemas.microsoft.com/office/word/2010/wordprocessingShape">
                    <wps:wsp>
                      <wps:cNvSpPr txBox="1"/>
                      <wps:spPr>
                        <a:xfrm>
                          <a:off x="5291455" y="1101090"/>
                          <a:ext cx="838200" cy="275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65pt;margin-top:14.7pt;height:21.7pt;width:66pt;z-index:251663360;mso-width-relative:page;mso-height-relative:page;" filled="f" stroked="f" coordsize="21600,21600" o:gfxdata="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gDC79oAAAAJAQAADwAAAAAAAAABACAA&#10;AAAiAAAAZHJzL2Rvd25yZXYueG1sUEsBAhQAFAAAAAgAh07iQIkCLl9EAgAAcQQAAA4AAAAAAAAA&#10;AQAgAAAAKQEAAGRycy9lMm9Eb2MueG1sUEsFBgAAAAAGAAYAWQEAAN8FAAAAAA==&#10;">
                <v:fill on="f" focussize="0,0"/>
                <v:stroke on="f" weight="0.5pt"/>
                <v:imagedata o:title=""/>
                <o:lock v:ext="edit" aspectratio="f"/>
                <v:textbox>
                  <w:txbxContent>
                    <w:p>
                      <w:r>
                        <w:rPr>
                          <w:rFonts w:hint="eastAsia"/>
                        </w:rPr>
                        <w:t>单位：万元</w:t>
                      </w:r>
                    </w:p>
                  </w:txbxContent>
                </v:textbox>
              </v:shape>
            </w:pict>
          </mc:Fallback>
        </mc:AlternateContent>
      </w:r>
      <w:r>
        <w:rPr>
          <w:rFonts w:hint="default" w:hAnsi="仿宋_GB2312" w:cs="仿宋_GB2312"/>
          <w:sz w:val="32"/>
          <w:szCs w:val="32"/>
        </w:rPr>
        <w:drawing>
          <wp:inline distT="0" distB="0" distL="114300" distR="114300">
            <wp:extent cx="5095875" cy="2898775"/>
            <wp:effectExtent l="0" t="0" r="9525" b="1587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2"/>
                    <a:stretch>
                      <a:fillRect/>
                    </a:stretch>
                  </pic:blipFill>
                  <pic:spPr>
                    <a:xfrm>
                      <a:off x="0" y="0"/>
                      <a:ext cx="5095875" cy="2898775"/>
                    </a:xfrm>
                    <a:prstGeom prst="rect">
                      <a:avLst/>
                    </a:prstGeom>
                  </pic:spPr>
                </pic:pic>
              </a:graphicData>
            </a:graphic>
          </wp:inline>
        </w:drawing>
      </w:r>
    </w:p>
    <w:p>
      <w:pPr>
        <w:pStyle w:val="6"/>
        <w:spacing w:before="93"/>
        <w:rPr>
          <w:rFonts w:hAnsi="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361" w:firstLineChars="0"/>
        <w:textAlignment w:val="auto"/>
        <w:outlineLvl w:val="1"/>
        <w:rPr>
          <w:rStyle w:val="27"/>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200.72</w:t>
      </w:r>
      <w:r>
        <w:rPr>
          <w:rFonts w:hint="eastAsia" w:ascii="仿宋" w:hAnsi="仿宋" w:eastAsia="仿宋"/>
          <w:sz w:val="32"/>
          <w:szCs w:val="32"/>
        </w:rPr>
        <w:t>万元，其中：基本支出</w:t>
      </w:r>
      <w:r>
        <w:rPr>
          <w:rFonts w:hint="eastAsia" w:ascii="仿宋" w:hAnsi="仿宋" w:eastAsia="仿宋"/>
          <w:sz w:val="32"/>
          <w:szCs w:val="32"/>
          <w:lang w:val="en-US" w:eastAsia="zh-CN"/>
        </w:rPr>
        <w:t>192.42</w:t>
      </w:r>
      <w:r>
        <w:rPr>
          <w:rFonts w:hint="eastAsia" w:ascii="仿宋" w:hAnsi="仿宋" w:eastAsia="仿宋"/>
          <w:sz w:val="32"/>
          <w:szCs w:val="32"/>
        </w:rPr>
        <w:t>万元，占</w:t>
      </w:r>
      <w:r>
        <w:rPr>
          <w:rFonts w:hint="eastAsia" w:ascii="仿宋" w:hAnsi="仿宋" w:eastAsia="仿宋"/>
          <w:sz w:val="32"/>
          <w:szCs w:val="32"/>
          <w:lang w:val="en-US" w:eastAsia="zh-CN"/>
        </w:rPr>
        <w:t>95.86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8.30</w:t>
      </w:r>
      <w:r>
        <w:rPr>
          <w:rFonts w:hint="eastAsia" w:ascii="仿宋" w:hAnsi="仿宋" w:eastAsia="仿宋"/>
          <w:sz w:val="32"/>
          <w:szCs w:val="32"/>
        </w:rPr>
        <w:t>万元，占</w:t>
      </w:r>
      <w:r>
        <w:rPr>
          <w:rFonts w:hint="eastAsia" w:ascii="仿宋" w:hAnsi="仿宋" w:eastAsia="仿宋"/>
          <w:sz w:val="32"/>
          <w:szCs w:val="32"/>
          <w:lang w:val="en-US" w:eastAsia="zh-CN"/>
        </w:rPr>
        <w:t>4.14</w:t>
      </w:r>
      <w:r>
        <w:rPr>
          <w:rFonts w:ascii="仿宋" w:hAnsi="仿宋" w:eastAsia="仿宋"/>
          <w:sz w:val="32"/>
          <w:szCs w:val="32"/>
        </w:rPr>
        <w:t>%</w:t>
      </w:r>
      <w:r>
        <w:rPr>
          <w:rFonts w:hint="eastAsia" w:ascii="仿宋" w:hAnsi="仿宋" w:eastAsia="仿宋"/>
          <w:sz w:val="32"/>
          <w:szCs w:val="32"/>
        </w:rPr>
        <w:t>。</w:t>
      </w:r>
    </w:p>
    <w:p>
      <w:pPr>
        <w:pStyle w:val="6"/>
        <w:spacing w:before="93"/>
        <w:rPr>
          <w:rFonts w:ascii="仿宋" w:hAnsi="仿宋" w:eastAsia="仿宋"/>
          <w:sz w:val="32"/>
          <w:szCs w:val="32"/>
          <w:shd w:val="pct10" w:color="auto" w:fill="FFFFFF"/>
        </w:rPr>
      </w:pPr>
      <w:r>
        <w:rPr>
          <w:rFonts w:hint="eastAsia" w:ascii="仿宋" w:hAnsi="仿宋" w:eastAsia="仿宋"/>
          <w:sz w:val="32"/>
          <w:szCs w:val="32"/>
          <w:shd w:val="pct10" w:color="auto" w:fill="FFFFFF"/>
        </w:rPr>
        <w:drawing>
          <wp:anchor distT="0" distB="0" distL="114300" distR="114300" simplePos="0" relativeHeight="251666432" behindDoc="0" locked="0" layoutInCell="1" allowOverlap="1">
            <wp:simplePos x="0" y="0"/>
            <wp:positionH relativeFrom="column">
              <wp:posOffset>180975</wp:posOffset>
            </wp:positionH>
            <wp:positionV relativeFrom="paragraph">
              <wp:posOffset>5715</wp:posOffset>
            </wp:positionV>
            <wp:extent cx="4939665" cy="2861945"/>
            <wp:effectExtent l="0" t="0" r="1333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6"/>
        <w:spacing w:before="93"/>
        <w:jc w:val="center"/>
        <w:rPr>
          <w:rFonts w:hAnsi="仿宋_GB2312" w:cs="仿宋_GB2312"/>
          <w:kern w:val="2"/>
          <w:sz w:val="32"/>
          <w:szCs w:val="32"/>
        </w:rPr>
      </w:pPr>
    </w:p>
    <w:p>
      <w:pPr>
        <w:pStyle w:val="6"/>
        <w:spacing w:before="93"/>
        <w:jc w:val="center"/>
        <w:rPr>
          <w:rFonts w:hAnsi="仿宋_GB2312" w:cs="仿宋_GB2312"/>
          <w:kern w:val="2"/>
          <w:sz w:val="32"/>
          <w:szCs w:val="32"/>
        </w:rPr>
      </w:pPr>
    </w:p>
    <w:p>
      <w:pPr>
        <w:pStyle w:val="6"/>
        <w:spacing w:before="93"/>
        <w:jc w:val="center"/>
        <w:rPr>
          <w:rFonts w:hAnsi="仿宋_GB2312" w:cs="仿宋_GB2312"/>
          <w:kern w:val="2"/>
          <w:sz w:val="32"/>
          <w:szCs w:val="32"/>
        </w:rPr>
      </w:pPr>
    </w:p>
    <w:p>
      <w:pPr>
        <w:pStyle w:val="6"/>
        <w:spacing w:before="93"/>
        <w:jc w:val="center"/>
        <w:rPr>
          <w:rFonts w:hAnsi="仿宋_GB2312" w:cs="仿宋_GB2312"/>
          <w:kern w:val="2"/>
          <w:sz w:val="32"/>
          <w:szCs w:val="32"/>
        </w:rPr>
      </w:pPr>
    </w:p>
    <w:p>
      <w:pPr>
        <w:pStyle w:val="6"/>
        <w:spacing w:before="93"/>
        <w:jc w:val="center"/>
        <w:rPr>
          <w:rFonts w:hAnsi="仿宋_GB2312" w:cs="仿宋_GB2312"/>
          <w:kern w:val="2"/>
          <w:sz w:val="32"/>
          <w:szCs w:val="32"/>
        </w:rPr>
      </w:pPr>
    </w:p>
    <w:p>
      <w:pPr>
        <w:pStyle w:val="6"/>
        <w:spacing w:before="93"/>
        <w:jc w:val="center"/>
        <w:rPr>
          <w:rFonts w:ascii="仿宋" w:hAnsi="仿宋" w:eastAsia="仿宋"/>
          <w:sz w:val="32"/>
          <w:szCs w:val="32"/>
          <w:shd w:val="pct10" w:color="auto" w:fill="FFFFFF"/>
        </w:rPr>
      </w:pPr>
      <w:r>
        <w:rPr>
          <w:rFonts w:hint="eastAsia" w:hAnsi="仿宋_GB2312" w:cs="仿宋_GB2312"/>
          <w:kern w:val="2"/>
          <w:sz w:val="32"/>
          <w:szCs w:val="32"/>
        </w:rPr>
        <w:t>图</w:t>
      </w:r>
      <w:r>
        <w:rPr>
          <w:rFonts w:hAnsi="仿宋_GB2312" w:cs="仿宋_GB2312"/>
          <w:kern w:val="2"/>
          <w:sz w:val="32"/>
          <w:szCs w:val="32"/>
        </w:rPr>
        <w:t>3</w:t>
      </w:r>
      <w:r>
        <w:rPr>
          <w:rFonts w:hint="eastAsia" w:hAnsi="仿宋_GB2312" w:cs="仿宋_GB2312"/>
          <w:kern w:val="2"/>
          <w:sz w:val="32"/>
          <w:szCs w:val="32"/>
        </w:rPr>
        <w:t>：支出决算结构</w:t>
      </w:r>
    </w:p>
    <w:p>
      <w:pPr>
        <w:spacing w:line="600" w:lineRule="exact"/>
        <w:ind w:firstLine="640" w:firstLineChars="200"/>
        <w:outlineLvl w:val="1"/>
        <w:rPr>
          <w:rFonts w:hint="eastAsia" w:ascii="黑体" w:hAnsi="黑体" w:eastAsia="黑体"/>
          <w:sz w:val="32"/>
          <w:szCs w:val="32"/>
        </w:rPr>
      </w:pPr>
      <w:bookmarkStart w:id="24" w:name="_Toc15377208"/>
      <w:bookmarkStart w:id="25" w:name="_Toc15396606"/>
    </w:p>
    <w:p>
      <w:pPr>
        <w:spacing w:line="600" w:lineRule="exact"/>
        <w:ind w:firstLine="640" w:firstLineChars="200"/>
        <w:outlineLvl w:val="1"/>
        <w:rPr>
          <w:rStyle w:val="27"/>
          <w:rFonts w:ascii="黑体" w:hAnsi="黑体" w:eastAsia="黑体"/>
          <w:b w:val="0"/>
        </w:rPr>
      </w:pPr>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576" w:lineRule="exact"/>
        <w:ind w:firstLine="640" w:firstLineChars="20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val="en-US" w:eastAsia="zh-CN"/>
        </w:rPr>
        <w:t>200.72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200.72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2022年新成立的独立预算单位</w:t>
      </w:r>
      <w:r>
        <w:rPr>
          <w:rFonts w:hint="eastAsia" w:ascii="仿宋_GB2312" w:hAnsi="仿宋_GB2312" w:eastAsia="仿宋_GB2312" w:cs="仿宋_GB2312"/>
          <w:sz w:val="32"/>
          <w:szCs w:val="32"/>
        </w:rPr>
        <w:t>。</w:t>
      </w:r>
    </w:p>
    <w:p>
      <w:pPr>
        <w:pStyle w:val="6"/>
        <w:spacing w:before="93"/>
        <w:rPr>
          <w:rFonts w:ascii="仿宋" w:hAnsi="仿宋" w:eastAsia="仿宋"/>
          <w:sz w:val="32"/>
          <w:szCs w:val="32"/>
        </w:rPr>
      </w:pPr>
      <w:r>
        <w:rPr>
          <w:rFonts w:ascii="仿宋" w:hAnsi="仿宋" w:eastAsia="仿宋"/>
          <w:b/>
          <w:sz w:val="32"/>
          <w:szCs w:val="32"/>
        </w:rPr>
        <w:t xml:space="preserve"> </w:t>
      </w:r>
      <w:r>
        <mc:AlternateContent>
          <mc:Choice Requires="wps">
            <w:drawing>
              <wp:anchor distT="0" distB="0" distL="114300" distR="114300" simplePos="0" relativeHeight="251662336" behindDoc="0" locked="0" layoutInCell="1" allowOverlap="1">
                <wp:simplePos x="0" y="0"/>
                <wp:positionH relativeFrom="column">
                  <wp:posOffset>4251960</wp:posOffset>
                </wp:positionH>
                <wp:positionV relativeFrom="paragraph">
                  <wp:posOffset>342900</wp:posOffset>
                </wp:positionV>
                <wp:extent cx="904240" cy="295275"/>
                <wp:effectExtent l="0" t="0" r="0" b="0"/>
                <wp:wrapNone/>
                <wp:docPr id="13" name="文本框 3"/>
                <wp:cNvGraphicFramePr/>
                <a:graphic xmlns:a="http://schemas.openxmlformats.org/drawingml/2006/main">
                  <a:graphicData uri="http://schemas.microsoft.com/office/word/2010/wordprocessingShape">
                    <wps:wsp>
                      <wps:cNvSpPr txBox="1"/>
                      <wps:spPr>
                        <a:xfrm>
                          <a:off x="0" y="0"/>
                          <a:ext cx="90424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spacing w:before="0" w:beforeAutospacing="0" w:after="0" w:afterAutospacing="0"/>
                              <w:jc w:val="both"/>
                            </w:pPr>
                            <w:r>
                              <w:rPr>
                                <w:rFonts w:hint="eastAsia" w:ascii="Times New Roman" w:cstheme="minorBidi"/>
                                <w:color w:val="000000" w:themeColor="dark1"/>
                                <w:kern w:val="2"/>
                                <w:sz w:val="21"/>
                                <w:szCs w:val="21"/>
                                <w14:textFill>
                                  <w14:solidFill>
                                    <w14:schemeClr w14:val="dk1"/>
                                  </w14:solidFill>
                                </w14:textFill>
                              </w:rPr>
                              <w:t>单位：万元</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334.8pt;margin-top:27pt;height:23.25pt;width:71.2pt;z-index:251662336;mso-width-relative:page;mso-height-relative:page;" filled="f" stroked="f" coordsize="21600,21600" o:gfxdata="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lLD62gAAAAoBAAAPAAAAAAAAAAEAIAAAACIAAABkcnMvZG93bnJldi54bWxQSwECFAAU&#10;AAAACACHTuJADWXZwCgCAAA2BAAADgAAAAAAAAABACAAAAApAQAAZHJzL2Uyb0RvYy54bWxQSwUG&#10;AAAAAAYABgBZAQAAwwUAAAAA&#10;">
                <v:fill on="f" focussize="0,0"/>
                <v:stroke on="f" weight="0.5pt"/>
                <v:imagedata o:title=""/>
                <o:lock v:ext="edit" aspectratio="f"/>
                <v:textbox>
                  <w:txbxContent>
                    <w:p>
                      <w:pPr>
                        <w:pStyle w:val="13"/>
                        <w:spacing w:before="0" w:beforeAutospacing="0" w:after="0" w:afterAutospacing="0"/>
                        <w:jc w:val="both"/>
                      </w:pPr>
                      <w:r>
                        <w:rPr>
                          <w:rFonts w:hint="eastAsia" w:ascii="Times New Roman" w:cstheme="minorBidi"/>
                          <w:color w:val="000000" w:themeColor="dark1"/>
                          <w:kern w:val="2"/>
                          <w:sz w:val="21"/>
                          <w:szCs w:val="21"/>
                          <w14:textFill>
                            <w14:solidFill>
                              <w14:schemeClr w14:val="dk1"/>
                            </w14:solidFill>
                          </w14:textFill>
                        </w:rPr>
                        <w:t>单位：万元</w:t>
                      </w:r>
                    </w:p>
                  </w:txbxContent>
                </v:textbox>
              </v:shape>
            </w:pict>
          </mc:Fallback>
        </mc:AlternateContent>
      </w:r>
      <w:r>
        <w:drawing>
          <wp:anchor distT="0" distB="0" distL="114300" distR="114300" simplePos="0" relativeHeight="251661312" behindDoc="0" locked="0" layoutInCell="1" allowOverlap="1">
            <wp:simplePos x="0" y="0"/>
            <wp:positionH relativeFrom="column">
              <wp:posOffset>38100</wp:posOffset>
            </wp:positionH>
            <wp:positionV relativeFrom="paragraph">
              <wp:posOffset>114300</wp:posOffset>
            </wp:positionV>
            <wp:extent cx="5274310" cy="3076575"/>
            <wp:effectExtent l="0" t="0" r="2540" b="952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spacing w:line="600" w:lineRule="exact"/>
        <w:ind w:firstLine="640" w:firstLineChars="200"/>
        <w:outlineLvl w:val="1"/>
        <w:rPr>
          <w:rStyle w:val="2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ascii="仿宋" w:hAnsi="仿宋" w:eastAsia="仿宋"/>
          <w:sz w:val="32"/>
          <w:szCs w:val="32"/>
        </w:rPr>
        <w:t>20</w:t>
      </w:r>
      <w:r>
        <w:rPr>
          <w:rFonts w:hint="eastAsia" w:ascii="仿宋" w:hAnsi="仿宋" w:eastAsia="仿宋"/>
          <w:sz w:val="32"/>
          <w:szCs w:val="32"/>
          <w:lang w:val="en-US" w:eastAsia="zh-CN"/>
        </w:rPr>
        <w:t>0.7</w:t>
      </w:r>
      <w:r>
        <w:rPr>
          <w:rFonts w:hint="default" w:ascii="仿宋" w:hAnsi="仿宋" w:eastAsia="仿宋"/>
          <w:sz w:val="32"/>
          <w:szCs w:val="32"/>
          <w:lang w:eastAsia="zh-CN"/>
        </w:rPr>
        <w:t>2</w:t>
      </w:r>
      <w:r>
        <w:rPr>
          <w:rFonts w:hint="eastAsia" w:ascii="仿宋" w:hAnsi="仿宋" w:eastAsia="仿宋"/>
          <w:sz w:val="32"/>
          <w:szCs w:val="32"/>
        </w:rPr>
        <w:t>万元，占本年支出合计的</w:t>
      </w:r>
      <w:r>
        <w:rPr>
          <w:rFonts w:hint="default" w:ascii="仿宋" w:hAnsi="仿宋" w:eastAsia="仿宋"/>
          <w:sz w:val="32"/>
          <w:szCs w:val="32"/>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200.72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2022年新成立的独立预算单位</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pStyle w:val="6"/>
        <w:spacing w:before="93"/>
        <w:jc w:val="center"/>
      </w:pPr>
      <w:r>
        <mc:AlternateContent>
          <mc:Choice Requires="wps">
            <w:drawing>
              <wp:anchor distT="0" distB="0" distL="114300" distR="114300" simplePos="0" relativeHeight="251664384" behindDoc="0" locked="0" layoutInCell="1" allowOverlap="1">
                <wp:simplePos x="0" y="0"/>
                <wp:positionH relativeFrom="column">
                  <wp:posOffset>4267200</wp:posOffset>
                </wp:positionH>
                <wp:positionV relativeFrom="paragraph">
                  <wp:posOffset>235585</wp:posOffset>
                </wp:positionV>
                <wp:extent cx="904240" cy="295275"/>
                <wp:effectExtent l="0" t="0" r="0" b="0"/>
                <wp:wrapNone/>
                <wp:docPr id="15" name="文本框 3"/>
                <wp:cNvGraphicFramePr/>
                <a:graphic xmlns:a="http://schemas.openxmlformats.org/drawingml/2006/main">
                  <a:graphicData uri="http://schemas.microsoft.com/office/word/2010/wordprocessingShape">
                    <wps:wsp>
                      <wps:cNvSpPr txBox="1"/>
                      <wps:spPr>
                        <a:xfrm>
                          <a:off x="0" y="0"/>
                          <a:ext cx="90424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spacing w:before="0" w:beforeAutospacing="0" w:after="0" w:afterAutospacing="0"/>
                              <w:jc w:val="both"/>
                            </w:pPr>
                            <w:r>
                              <w:rPr>
                                <w:rFonts w:hint="eastAsia" w:ascii="Times New Roman" w:cstheme="minorBidi"/>
                                <w:color w:val="000000" w:themeColor="dark1"/>
                                <w:kern w:val="2"/>
                                <w:sz w:val="21"/>
                                <w:szCs w:val="21"/>
                                <w14:textFill>
                                  <w14:solidFill>
                                    <w14:schemeClr w14:val="dk1"/>
                                  </w14:solidFill>
                                </w14:textFill>
                              </w:rPr>
                              <w:t>单位：万元</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336pt;margin-top:18.55pt;height:23.25pt;width:71.2pt;z-index:251664384;mso-width-relative:page;mso-height-relative:page;" filled="f" stroked="f" coordsize="21600,21600" o:gfxdata="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JHk6vbAAAACQEAAA8AAAAAAAAAAQAgAAAAIgAAAGRycy9kb3ducmV2LnhtbFBLAQIU&#10;ABQAAAAIAIdO4kAJa2lsKQIAADYEAAAOAAAAAAAAAAEAIAAAACoBAABkcnMvZTJvRG9jLnhtbFBL&#10;BQYAAAAABgAGAFkBAADFBQAAAAA=&#10;">
                <v:fill on="f" focussize="0,0"/>
                <v:stroke on="f" weight="0.5pt"/>
                <v:imagedata o:title=""/>
                <o:lock v:ext="edit" aspectratio="f"/>
                <v:textbox>
                  <w:txbxContent>
                    <w:p>
                      <w:pPr>
                        <w:pStyle w:val="13"/>
                        <w:spacing w:before="0" w:beforeAutospacing="0" w:after="0" w:afterAutospacing="0"/>
                        <w:jc w:val="both"/>
                      </w:pPr>
                      <w:r>
                        <w:rPr>
                          <w:rFonts w:hint="eastAsia" w:ascii="Times New Roman" w:cstheme="minorBidi"/>
                          <w:color w:val="000000" w:themeColor="dark1"/>
                          <w:kern w:val="2"/>
                          <w:sz w:val="21"/>
                          <w:szCs w:val="21"/>
                          <w14:textFill>
                            <w14:solidFill>
                              <w14:schemeClr w14:val="dk1"/>
                            </w14:solidFill>
                          </w14:textFill>
                        </w:rPr>
                        <w:t>单位：万元</w:t>
                      </w:r>
                    </w:p>
                  </w:txbxContent>
                </v:textbox>
              </v:shape>
            </w:pict>
          </mc:Fallback>
        </mc:AlternateContent>
      </w:r>
      <w:r>
        <w:drawing>
          <wp:inline distT="0" distB="0" distL="0" distR="0">
            <wp:extent cx="5067300" cy="28956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年一般公共预算财政拨款支出20</w:t>
      </w:r>
      <w:r>
        <w:rPr>
          <w:rFonts w:hint="eastAsia" w:ascii="仿宋" w:hAnsi="仿宋" w:eastAsia="仿宋"/>
          <w:sz w:val="32"/>
          <w:szCs w:val="32"/>
          <w:lang w:val="en-US" w:eastAsia="zh-CN"/>
        </w:rPr>
        <w:t>0.72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13.273</w:t>
      </w:r>
      <w:r>
        <w:rPr>
          <w:rFonts w:hint="eastAsia" w:ascii="仿宋" w:hAnsi="仿宋" w:eastAsia="仿宋"/>
          <w:sz w:val="32"/>
          <w:szCs w:val="32"/>
        </w:rPr>
        <w:t>万元，占</w:t>
      </w:r>
      <w:r>
        <w:rPr>
          <w:rFonts w:hint="eastAsia" w:ascii="仿宋" w:hAnsi="仿宋" w:eastAsia="仿宋"/>
          <w:sz w:val="32"/>
          <w:szCs w:val="32"/>
          <w:lang w:val="en-US" w:eastAsia="zh-CN"/>
        </w:rPr>
        <w:t>6.613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val="0"/>
          <w:bCs w:val="0"/>
          <w:sz w:val="32"/>
          <w:szCs w:val="32"/>
          <w:lang w:val="en-US" w:eastAsia="zh-CN"/>
        </w:rPr>
        <w:t>6.445</w:t>
      </w:r>
      <w:r>
        <w:rPr>
          <w:rFonts w:hint="eastAsia" w:ascii="仿宋" w:hAnsi="仿宋" w:eastAsia="仿宋"/>
          <w:sz w:val="32"/>
          <w:szCs w:val="32"/>
        </w:rPr>
        <w:t>万元，占3.</w:t>
      </w:r>
      <w:r>
        <w:rPr>
          <w:rFonts w:hint="eastAsia" w:ascii="仿宋" w:hAnsi="仿宋" w:eastAsia="仿宋"/>
          <w:sz w:val="32"/>
          <w:szCs w:val="32"/>
          <w:lang w:val="en-US" w:eastAsia="zh-CN"/>
        </w:rPr>
        <w:t>211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lang w:val="en-US" w:eastAsia="zh-CN"/>
        </w:rPr>
        <w:t>2.469</w:t>
      </w:r>
      <w:r>
        <w:rPr>
          <w:rFonts w:hint="eastAsia" w:ascii="仿宋" w:hAnsi="仿宋" w:eastAsia="仿宋"/>
          <w:sz w:val="32"/>
          <w:szCs w:val="32"/>
        </w:rPr>
        <w:t>万元，占8</w:t>
      </w:r>
      <w:r>
        <w:rPr>
          <w:rFonts w:hint="eastAsia" w:ascii="仿宋" w:hAnsi="仿宋" w:eastAsia="仿宋"/>
          <w:sz w:val="32"/>
          <w:szCs w:val="32"/>
          <w:lang w:val="en-US" w:eastAsia="zh-CN"/>
        </w:rPr>
        <w:t>0.943</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18.532</w:t>
      </w:r>
      <w:r>
        <w:rPr>
          <w:rFonts w:hint="eastAsia" w:ascii="仿宋" w:hAnsi="仿宋" w:eastAsia="仿宋"/>
          <w:sz w:val="32"/>
          <w:szCs w:val="32"/>
        </w:rPr>
        <w:t>万元，占</w:t>
      </w:r>
      <w:r>
        <w:rPr>
          <w:rFonts w:hint="eastAsia" w:ascii="仿宋" w:hAnsi="仿宋" w:eastAsia="仿宋"/>
          <w:sz w:val="32"/>
          <w:szCs w:val="32"/>
          <w:lang w:val="en-US" w:eastAsia="zh-CN"/>
        </w:rPr>
        <w:t>9.233</w:t>
      </w:r>
      <w:r>
        <w:rPr>
          <w:rFonts w:ascii="仿宋" w:hAnsi="仿宋" w:eastAsia="仿宋"/>
          <w:sz w:val="32"/>
          <w:szCs w:val="32"/>
        </w:rPr>
        <w:t>%</w:t>
      </w:r>
      <w:r>
        <w:rPr>
          <w:rFonts w:hint="eastAsia" w:ascii="仿宋_GB2312" w:hAnsi="仿宋_GB2312" w:eastAsia="仿宋_GB2312" w:cs="仿宋_GB2312"/>
          <w:sz w:val="32"/>
          <w:szCs w:val="32"/>
        </w:rPr>
        <w:t>。</w:t>
      </w:r>
    </w:p>
    <w:p>
      <w:pPr>
        <w:spacing w:line="600" w:lineRule="exact"/>
        <w:ind w:firstLine="640"/>
        <w:rPr>
          <w:rFonts w:ascii="仿宋" w:hAnsi="仿宋" w:eastAsia="仿宋"/>
          <w:b/>
          <w:sz w:val="32"/>
          <w:szCs w:val="32"/>
        </w:rPr>
      </w:pPr>
      <w:r>
        <w:rPr>
          <w:rFonts w:ascii="仿宋" w:hAnsi="仿宋" w:eastAsia="仿宋"/>
          <w:sz w:val="32"/>
          <w:szCs w:val="32"/>
        </w:rPr>
        <w:drawing>
          <wp:anchor distT="0" distB="0" distL="114300" distR="114300" simplePos="0" relativeHeight="251665408" behindDoc="1" locked="0" layoutInCell="1" allowOverlap="1">
            <wp:simplePos x="0" y="0"/>
            <wp:positionH relativeFrom="column">
              <wp:posOffset>144780</wp:posOffset>
            </wp:positionH>
            <wp:positionV relativeFrom="paragraph">
              <wp:posOffset>76200</wp:posOffset>
            </wp:positionV>
            <wp:extent cx="5113020" cy="2987040"/>
            <wp:effectExtent l="0" t="0" r="11430" b="3810"/>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ascii="仿宋" w:hAnsi="仿宋" w:eastAsia="仿宋"/>
          <w:sz w:val="32"/>
          <w:szCs w:val="32"/>
        </w:rPr>
      </w:pPr>
    </w:p>
    <w:p>
      <w:pPr>
        <w:pStyle w:val="6"/>
        <w:spacing w:before="93"/>
      </w:pPr>
      <w:r>
        <w:rPr>
          <w:rFonts w:hint="eastAsia"/>
        </w:rPr>
        <w:t xml:space="preserve"> </w:t>
      </w: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200.72</w:t>
      </w:r>
      <w:r>
        <w:rPr>
          <w:rFonts w:hint="eastAsia" w:ascii="仿宋" w:hAnsi="仿宋" w:eastAsia="仿宋"/>
          <w:b/>
          <w:sz w:val="32"/>
          <w:szCs w:val="32"/>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ascii="仿宋" w:hAnsi="仿宋" w:eastAsia="仿宋"/>
          <w:bCs/>
          <w:sz w:val="32"/>
          <w:szCs w:val="32"/>
        </w:rPr>
        <w:t>100%</w:t>
      </w:r>
      <w:r>
        <w:rPr>
          <w:rStyle w:val="16"/>
          <w:rFonts w:hint="eastAsia" w:ascii="仿宋" w:hAnsi="仿宋" w:eastAsia="仿宋"/>
          <w:bCs/>
          <w:sz w:val="32"/>
          <w:szCs w:val="32"/>
        </w:rPr>
        <w:t>。其中：</w:t>
      </w:r>
      <w:bookmarkEnd w:id="31"/>
      <w:bookmarkEnd w:id="32"/>
      <w:bookmarkEnd w:id="33"/>
    </w:p>
    <w:p>
      <w:pPr>
        <w:numPr>
          <w:ilvl w:val="0"/>
          <w:numId w:val="2"/>
        </w:numPr>
        <w:spacing w:line="600" w:lineRule="exact"/>
        <w:ind w:firstLine="643" w:firstLineChars="200"/>
        <w:rPr>
          <w:rFonts w:ascii="仿宋" w:hAnsi="仿宋" w:eastAsia="仿宋"/>
          <w:bCs/>
          <w:sz w:val="32"/>
          <w:szCs w:val="32"/>
        </w:rPr>
      </w:pPr>
      <w:r>
        <w:rPr>
          <w:rStyle w:val="16"/>
          <w:rFonts w:hint="eastAsia" w:ascii="仿宋" w:hAnsi="仿宋" w:eastAsia="仿宋"/>
          <w:bCs/>
          <w:sz w:val="32"/>
          <w:szCs w:val="32"/>
        </w:rPr>
        <w:t>社会保障和就业（类）行政事业单位养老（款）机关事业单位基本养老保险缴费（项）</w:t>
      </w:r>
      <w:r>
        <w:rPr>
          <w:rStyle w:val="16"/>
          <w:rFonts w:ascii="仿宋" w:hAnsi="仿宋" w:eastAsia="仿宋"/>
          <w:bCs/>
          <w:sz w:val="32"/>
          <w:szCs w:val="32"/>
        </w:rPr>
        <w:t>:</w:t>
      </w:r>
      <w:r>
        <w:rPr>
          <w:rStyle w:val="16"/>
          <w:rFonts w:ascii="仿宋" w:hAnsi="仿宋" w:eastAsia="仿宋"/>
          <w:b w:val="0"/>
          <w:bCs/>
          <w:sz w:val="32"/>
          <w:szCs w:val="32"/>
        </w:rPr>
        <w:t xml:space="preserve"> </w:t>
      </w:r>
      <w:r>
        <w:rPr>
          <w:rFonts w:hint="eastAsia" w:ascii="仿宋_GB2312" w:hAnsi="仿宋_GB2312" w:eastAsia="仿宋_GB2312" w:cs="仿宋_GB2312"/>
          <w:sz w:val="32"/>
          <w:szCs w:val="32"/>
        </w:rPr>
        <w:t>支出决算为</w:t>
      </w:r>
      <w:r>
        <w:rPr>
          <w:rFonts w:hint="eastAsia" w:hAnsi="仿宋_GB2312" w:eastAsia="仿宋_GB2312" w:cs="仿宋_GB2312"/>
          <w:sz w:val="32"/>
          <w:szCs w:val="32"/>
          <w:lang w:val="en-US" w:eastAsia="zh-CN"/>
        </w:rPr>
        <w:t>11.37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，决算数与预算数持平</w:t>
      </w:r>
      <w:r>
        <w:rPr>
          <w:rFonts w:hint="eastAsia" w:ascii="仿宋_GB2312" w:hAnsi="仿宋_GB2312" w:eastAsia="仿宋_GB2312" w:cs="仿宋_GB2312"/>
          <w:sz w:val="32"/>
          <w:szCs w:val="32"/>
          <w:lang w:val="en-US" w:eastAsia="zh-CN"/>
        </w:rPr>
        <w:t>;</w:t>
      </w:r>
      <w:r>
        <w:rPr>
          <w:rStyle w:val="16"/>
          <w:rFonts w:hint="eastAsia" w:ascii="仿宋" w:hAnsi="仿宋" w:eastAsia="仿宋"/>
          <w:bCs/>
          <w:sz w:val="32"/>
          <w:szCs w:val="32"/>
        </w:rPr>
        <w:t>机关事业单位</w:t>
      </w:r>
      <w:r>
        <w:rPr>
          <w:rStyle w:val="16"/>
          <w:rFonts w:hint="eastAsia" w:ascii="仿宋" w:hAnsi="仿宋" w:eastAsia="仿宋"/>
          <w:bCs/>
          <w:sz w:val="32"/>
          <w:szCs w:val="32"/>
          <w:lang w:eastAsia="zh-CN"/>
        </w:rPr>
        <w:t>职业年金</w:t>
      </w:r>
      <w:r>
        <w:rPr>
          <w:rStyle w:val="16"/>
          <w:rFonts w:hint="eastAsia" w:ascii="仿宋" w:hAnsi="仿宋" w:eastAsia="仿宋"/>
          <w:bCs/>
          <w:sz w:val="32"/>
          <w:szCs w:val="32"/>
        </w:rPr>
        <w:t>缴费（项）</w:t>
      </w:r>
      <w:r>
        <w:rPr>
          <w:rStyle w:val="16"/>
          <w:rFonts w:ascii="仿宋" w:hAnsi="仿宋" w:eastAsia="仿宋"/>
          <w:bCs/>
          <w:sz w:val="32"/>
          <w:szCs w:val="32"/>
        </w:rPr>
        <w:t>:</w:t>
      </w:r>
      <w:r>
        <w:rPr>
          <w:rFonts w:hint="eastAsia" w:ascii="仿宋_GB2312" w:hAnsi="仿宋_GB2312" w:eastAsia="仿宋_GB2312" w:cs="仿宋_GB2312"/>
          <w:sz w:val="32"/>
          <w:szCs w:val="32"/>
        </w:rPr>
        <w:t>支出决算为</w:t>
      </w:r>
      <w:r>
        <w:rPr>
          <w:rFonts w:hint="eastAsia" w:hAnsi="仿宋_GB2312" w:eastAsia="仿宋_GB2312" w:cs="仿宋_GB2312"/>
          <w:sz w:val="32"/>
          <w:szCs w:val="32"/>
          <w:lang w:val="en-US" w:eastAsia="zh-CN"/>
        </w:rPr>
        <w:t>1.90</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，决算数与预算数持平。</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Fonts w:hint="eastAsia" w:ascii="仿宋" w:hAnsi="仿宋" w:eastAsia="仿宋"/>
          <w:b/>
          <w:bCs/>
          <w:sz w:val="32"/>
          <w:szCs w:val="32"/>
        </w:rPr>
        <w:t xml:space="preserve"> </w:t>
      </w:r>
      <w:r>
        <w:rPr>
          <w:rStyle w:val="16"/>
          <w:rFonts w:hint="eastAsia" w:ascii="仿宋" w:hAnsi="仿宋" w:eastAsia="仿宋"/>
          <w:bCs/>
          <w:sz w:val="32"/>
          <w:szCs w:val="32"/>
        </w:rPr>
        <w:t>卫生健康（类）行政事业单位医疗（款）事业单位医疗（项）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6.445</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，决算数与预算数持平</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Style w:val="16"/>
          <w:rFonts w:hint="eastAsia" w:ascii="仿宋" w:hAnsi="仿宋" w:eastAsia="仿宋"/>
          <w:bCs/>
          <w:sz w:val="32"/>
          <w:szCs w:val="32"/>
        </w:rPr>
        <w:t>城乡社区（类）城乡社区管理事务（款）其他城乡社区管理事务（项）</w:t>
      </w:r>
      <w:r>
        <w:rPr>
          <w:rStyle w:val="16"/>
          <w:rFonts w:ascii="仿宋" w:hAnsi="仿宋" w:eastAsia="仿宋"/>
          <w:bCs/>
          <w:sz w:val="32"/>
          <w:szCs w:val="32"/>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2.47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lang w:val="e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，决算数与预算数持平</w:t>
      </w:r>
      <w:r>
        <w:rPr>
          <w:rStyle w:val="16"/>
          <w:rFonts w:hint="eastAsia" w:ascii="仿宋" w:hAnsi="仿宋" w:eastAsia="仿宋"/>
          <w:b w:val="0"/>
          <w:bCs/>
          <w:sz w:val="32"/>
          <w:szCs w:val="32"/>
        </w:rPr>
        <w:t>。</w:t>
      </w:r>
    </w:p>
    <w:p>
      <w:pPr>
        <w:spacing w:line="600" w:lineRule="exact"/>
        <w:ind w:firstLine="643" w:firstLineChars="200"/>
        <w:rPr>
          <w:rFonts w:ascii="仿宋_GB2312" w:hAnsi="仿宋_GB2312" w:eastAsia="仿宋_GB2312" w:cs="仿宋_GB2312"/>
          <w:sz w:val="32"/>
          <w:szCs w:val="32"/>
        </w:rPr>
      </w:pPr>
      <w:r>
        <w:rPr>
          <w:rFonts w:hint="eastAsia" w:ascii="仿宋" w:hAnsi="仿宋" w:eastAsia="仿宋"/>
          <w:b/>
          <w:bCs/>
          <w:sz w:val="32"/>
          <w:szCs w:val="32"/>
        </w:rPr>
        <w:t>4</w:t>
      </w:r>
      <w:r>
        <w:rPr>
          <w:rFonts w:ascii="仿宋" w:hAnsi="仿宋" w:eastAsia="仿宋"/>
          <w:b/>
          <w:bCs/>
          <w:sz w:val="32"/>
          <w:szCs w:val="32"/>
        </w:rPr>
        <w:t>.</w:t>
      </w:r>
      <w:r>
        <w:rPr>
          <w:rFonts w:hint="eastAsia" w:ascii="仿宋" w:hAnsi="仿宋" w:eastAsia="仿宋"/>
          <w:b/>
          <w:bCs/>
          <w:sz w:val="32"/>
          <w:szCs w:val="32"/>
        </w:rPr>
        <w:t>住房保障</w:t>
      </w:r>
      <w:r>
        <w:rPr>
          <w:rStyle w:val="16"/>
          <w:rFonts w:hint="eastAsia" w:ascii="仿宋" w:hAnsi="仿宋" w:eastAsia="仿宋"/>
          <w:bCs/>
          <w:sz w:val="32"/>
          <w:szCs w:val="32"/>
        </w:rPr>
        <w:t>（类）住房改革（款）住房公积金（项）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_GB2312" w:hAnsi="仿宋_GB2312" w:eastAsia="仿宋_GB2312" w:cs="仿宋_GB2312"/>
          <w:sz w:val="32"/>
          <w:szCs w:val="32"/>
          <w:lang w:val="en-US" w:eastAsia="zh-CN"/>
        </w:rPr>
        <w:t>18.532</w:t>
      </w:r>
      <w:r>
        <w:rPr>
          <w:rStyle w:val="16"/>
          <w:rFonts w:hint="eastAsia" w:ascii="仿宋" w:hAnsi="仿宋" w:eastAsia="仿宋"/>
          <w:b w:val="0"/>
          <w:bCs/>
          <w:sz w:val="32"/>
          <w:szCs w:val="32"/>
        </w:rPr>
        <w:t>万元，完成预算</w:t>
      </w:r>
      <w:r>
        <w:rPr>
          <w:rFonts w:ascii="仿宋_GB2312" w:hAnsi="仿宋_GB2312" w:eastAsia="仿宋_GB2312" w:cs="仿宋_GB2312"/>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p>
    <w:p>
      <w:pPr>
        <w:spacing w:line="560" w:lineRule="exact"/>
        <w:ind w:firstLine="420" w:firstLineChars="200"/>
        <w:rPr>
          <w:rFonts w:ascii="仿宋_GB2312" w:hAnsi="仿宋_GB2312" w:eastAsia="仿宋_GB2312"/>
          <w:sz w:val="32"/>
          <w:szCs w:val="32"/>
        </w:rPr>
      </w:pPr>
      <w:r>
        <w:rPr>
          <w:rFonts w:hint="eastAsia"/>
        </w:rPr>
        <w:t xml:space="preserve"> </w:t>
      </w:r>
      <w:r>
        <w:t xml:space="preserve">   </w:t>
      </w:r>
      <w:r>
        <w:rPr>
          <w:rFonts w:hint="eastAsia" w:ascii="仿宋_GB2312" w:hAnsi="仿宋_GB2312" w:eastAsia="仿宋_GB2312" w:cs="仿宋_GB2312"/>
          <w:sz w:val="32"/>
          <w:szCs w:val="32"/>
        </w:rPr>
        <w:t>除以上数据外其余的（类）（款）（项）科目支出的数据均为零。</w:t>
      </w: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2022年一般公共预算财政拨款基本支出192.42万元，其中：</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人员经费177.35万元，主要包括：基本工资、津贴补贴、奖金、绩效工资、机关事业单位基本养老保险缴费、职业年金缴费、职工基本医疗保险缴费、住房公积金、其他社会保障缴费、生活补助、奖励金。</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公用经费15.07万元，主要包括：办公费、手续费、邮电费、差旅费、培训费、工会经费、福利费、其他交通费、其他商品和服务支出。</w:t>
      </w:r>
    </w:p>
    <w:p>
      <w:pPr>
        <w:spacing w:line="600" w:lineRule="exact"/>
        <w:ind w:firstLine="640"/>
        <w:outlineLvl w:val="1"/>
        <w:rPr>
          <w:rStyle w:val="27"/>
          <w:rFonts w:ascii="黑体" w:hAnsi="黑体" w:eastAsia="黑体"/>
          <w:b w:val="0"/>
        </w:rPr>
      </w:pPr>
      <w:bookmarkStart w:id="36" w:name="_Toc15377215"/>
      <w:bookmarkStart w:id="37"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color w:val="auto"/>
          <w:sz w:val="32"/>
          <w:szCs w:val="32"/>
          <w:highlight w:val="none"/>
        </w:rPr>
      </w:pPr>
      <w:bookmarkStart w:id="39" w:name="_Toc153772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2022年新成立的独立预算单位</w:t>
      </w:r>
      <w:r>
        <w:rPr>
          <w:rFonts w:hint="eastAsia" w:ascii="仿宋" w:hAnsi="仿宋" w:eastAsia="仿宋"/>
          <w:color w:val="auto"/>
          <w:sz w:val="32"/>
          <w:szCs w:val="32"/>
          <w:highlight w:val="none"/>
          <w:lang w:eastAsia="zh-CN"/>
        </w:rPr>
        <w:t>，上年无数据</w:t>
      </w:r>
      <w:r>
        <w:rPr>
          <w:rFonts w:hint="eastAsia" w:ascii="仿宋_GB2312" w:eastAsia="仿宋_GB2312"/>
          <w:sz w:val="32"/>
          <w:szCs w:val="32"/>
          <w:lang w:eastAsia="zh-CN"/>
        </w:rPr>
        <w:t>。决算数与预算数持平的的主要原因为我单位</w:t>
      </w:r>
      <w:r>
        <w:rPr>
          <w:rFonts w:hint="eastAsia" w:ascii="仿宋_GB2312" w:eastAsia="仿宋_GB2312"/>
          <w:sz w:val="32"/>
          <w:szCs w:val="32"/>
          <w:lang w:val="en-US" w:eastAsia="zh-CN"/>
        </w:rPr>
        <w:t>2022年</w:t>
      </w:r>
      <w:r>
        <w:rPr>
          <w:rFonts w:hint="eastAsia" w:ascii="仿宋_GB2312" w:eastAsia="仿宋_GB2312"/>
          <w:sz w:val="32"/>
          <w:szCs w:val="32"/>
          <w:lang w:eastAsia="zh-CN"/>
        </w:rPr>
        <w:t>无</w:t>
      </w:r>
      <w:r>
        <w:rPr>
          <w:rFonts w:hint="eastAsia" w:ascii="仿宋" w:hAnsi="仿宋" w:eastAsia="仿宋"/>
          <w:sz w:val="32"/>
          <w:szCs w:val="32"/>
        </w:rPr>
        <w:t>因公出国（境）</w:t>
      </w:r>
      <w:r>
        <w:rPr>
          <w:rFonts w:hint="eastAsia" w:ascii="仿宋" w:hAnsi="仿宋" w:eastAsia="仿宋"/>
          <w:sz w:val="32"/>
          <w:szCs w:val="32"/>
          <w:lang w:eastAsia="zh-CN"/>
        </w:rPr>
        <w:t>、</w:t>
      </w:r>
      <w:r>
        <w:rPr>
          <w:rFonts w:hint="eastAsia" w:ascii="仿宋" w:hAnsi="仿宋" w:eastAsia="仿宋"/>
          <w:sz w:val="32"/>
          <w:szCs w:val="32"/>
        </w:rPr>
        <w:t>公务用车购置及运行维护</w:t>
      </w:r>
      <w:r>
        <w:rPr>
          <w:rFonts w:hint="eastAsia" w:ascii="仿宋" w:hAnsi="仿宋" w:eastAsia="仿宋"/>
          <w:sz w:val="32"/>
          <w:szCs w:val="32"/>
          <w:lang w:eastAsia="zh-CN"/>
        </w:rPr>
        <w:t>、</w:t>
      </w:r>
      <w:r>
        <w:rPr>
          <w:rFonts w:hint="eastAsia" w:ascii="仿宋" w:hAnsi="仿宋" w:eastAsia="仿宋"/>
          <w:sz w:val="32"/>
          <w:szCs w:val="32"/>
        </w:rPr>
        <w:t>公务接待</w:t>
      </w:r>
      <w:r>
        <w:rPr>
          <w:rFonts w:hint="eastAsia" w:ascii="仿宋" w:hAnsi="仿宋" w:eastAsia="仿宋"/>
          <w:sz w:val="32"/>
          <w:szCs w:val="32"/>
          <w:lang w:eastAsia="zh-CN"/>
        </w:rPr>
        <w:t>事宜</w:t>
      </w:r>
      <w:r>
        <w:rPr>
          <w:rFonts w:hint="eastAsia" w:ascii="仿宋_GB2312" w:eastAsia="仿宋_GB2312"/>
          <w:sz w:val="32"/>
          <w:szCs w:val="32"/>
          <w:lang w:val="en-US" w:eastAsia="zh-CN"/>
        </w:rPr>
        <w:t>预算</w:t>
      </w:r>
      <w:r>
        <w:rPr>
          <w:rFonts w:hint="eastAsia" w:ascii="仿宋" w:hAnsi="仿宋" w:eastAsia="仿宋"/>
          <w:sz w:val="32"/>
          <w:szCs w:val="32"/>
          <w:lang w:eastAsia="zh-CN"/>
        </w:rPr>
        <w:t>安排，也无</w:t>
      </w:r>
      <w:r>
        <w:rPr>
          <w:rFonts w:hint="eastAsia" w:ascii="仿宋" w:hAnsi="仿宋" w:eastAsia="仿宋"/>
          <w:sz w:val="32"/>
          <w:szCs w:val="32"/>
        </w:rPr>
        <w:t>因公出国（境）</w:t>
      </w:r>
      <w:r>
        <w:rPr>
          <w:rFonts w:hint="eastAsia" w:ascii="仿宋" w:hAnsi="仿宋" w:eastAsia="仿宋"/>
          <w:sz w:val="32"/>
          <w:szCs w:val="32"/>
          <w:lang w:eastAsia="zh-CN"/>
        </w:rPr>
        <w:t>、</w:t>
      </w:r>
      <w:r>
        <w:rPr>
          <w:rFonts w:hint="eastAsia" w:ascii="仿宋" w:hAnsi="仿宋" w:eastAsia="仿宋"/>
          <w:sz w:val="32"/>
          <w:szCs w:val="32"/>
        </w:rPr>
        <w:t>公务用车购置及运行维护</w:t>
      </w:r>
      <w:r>
        <w:rPr>
          <w:rFonts w:hint="eastAsia" w:ascii="仿宋" w:hAnsi="仿宋" w:eastAsia="仿宋"/>
          <w:sz w:val="32"/>
          <w:szCs w:val="32"/>
          <w:lang w:eastAsia="zh-CN"/>
        </w:rPr>
        <w:t>、</w:t>
      </w:r>
      <w:r>
        <w:rPr>
          <w:rFonts w:hint="eastAsia" w:ascii="仿宋" w:hAnsi="仿宋" w:eastAsia="仿宋"/>
          <w:sz w:val="32"/>
          <w:szCs w:val="32"/>
        </w:rPr>
        <w:t>公务接待</w:t>
      </w:r>
      <w:r>
        <w:rPr>
          <w:rFonts w:hint="eastAsia" w:ascii="仿宋" w:hAnsi="仿宋" w:eastAsia="仿宋"/>
          <w:sz w:val="32"/>
          <w:szCs w:val="32"/>
          <w:lang w:eastAsia="zh-CN"/>
        </w:rPr>
        <w:t>事宜发生</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val="en-US" w:eastAsia="zh-CN"/>
        </w:rPr>
        <w:t>,占0%</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占0%</w:t>
      </w:r>
      <w:r>
        <w:rPr>
          <w:rFonts w:hint="eastAsia" w:ascii="仿宋" w:hAnsi="仿宋" w:eastAsia="仿宋"/>
          <w:sz w:val="32"/>
          <w:szCs w:val="32"/>
        </w:rPr>
        <w:t>。</w:t>
      </w:r>
      <w:r>
        <w:rPr>
          <w:rFonts w:hint="eastAsia" w:ascii="仿宋_GB2312" w:hAnsi="仿宋_GB2312" w:eastAsia="仿宋_GB2312" w:cs="仿宋_GB2312"/>
          <w:sz w:val="32"/>
          <w:szCs w:val="32"/>
        </w:rPr>
        <w:t>具体情况如下：</w:t>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color w:val="auto"/>
          <w:sz w:val="32"/>
          <w:szCs w:val="32"/>
          <w:highlight w:val="none"/>
          <w:lang w:val="en-US" w:eastAsia="zh-CN"/>
        </w:rPr>
        <w:t>0万元,完成预算0%。因公出国（境）支出决算较2021年无变化，主要原因是我单位无因公出国（境）事宜,且我单位为2022年新成立的独立预算单位，上年无数据。</w:t>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sz w:val="32"/>
          <w:szCs w:val="32"/>
        </w:rPr>
        <w:t>2</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0万元,完成预算0%。公务用车购置及运行维护费支出决算较2021年无变化，主要原因是我单位为2022年新成立的独立预算事业单位，上年无数据。2022年我单位未购置公务用用车，截至12月底，单位共有公务用车0辆。</w:t>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color w:val="auto"/>
          <w:sz w:val="32"/>
          <w:szCs w:val="32"/>
          <w:highlight w:val="none"/>
          <w:lang w:val="en-US" w:eastAsia="zh-CN"/>
        </w:rPr>
        <w:t>0万元，完成预算0%。公务接待费支出决算较2021年无变化。主要原因是我单位无公务接待发生，且我单位为2022年新成立的独立预算单位，上年无数据。</w:t>
      </w:r>
    </w:p>
    <w:p>
      <w:pPr>
        <w:spacing w:line="600" w:lineRule="exact"/>
        <w:ind w:firstLine="640"/>
        <w:outlineLvl w:val="1"/>
        <w:rPr>
          <w:rStyle w:val="27"/>
          <w:rFonts w:ascii="黑体" w:hAnsi="黑体" w:eastAsia="黑体"/>
        </w:rPr>
      </w:pPr>
      <w:bookmarkStart w:id="40" w:name="_Toc15396610"/>
      <w:bookmarkStart w:id="41"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2022年政府性基金预算财政拨款支出0万元。</w:t>
      </w:r>
    </w:p>
    <w:p>
      <w:pPr>
        <w:numPr>
          <w:ilvl w:val="0"/>
          <w:numId w:val="3"/>
        </w:numPr>
        <w:spacing w:line="600" w:lineRule="exact"/>
        <w:ind w:firstLine="640"/>
        <w:outlineLvl w:val="1"/>
        <w:rPr>
          <w:rStyle w:val="27"/>
          <w:rFonts w:ascii="黑体" w:hAnsi="黑体" w:eastAsia="黑体"/>
          <w:b w:val="0"/>
        </w:rPr>
      </w:pPr>
      <w:bookmarkStart w:id="42" w:name="_Toc15396611"/>
      <w:bookmarkStart w:id="43" w:name="_Toc15377219"/>
      <w:r>
        <w:rPr>
          <w:rStyle w:val="2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color w:val="auto"/>
          <w:sz w:val="32"/>
          <w:szCs w:val="32"/>
          <w:highlight w:val="none"/>
          <w:lang w:val="en-US" w:eastAsia="zh-CN"/>
        </w:rPr>
        <w:t>2022年国有资本经营预算财政拨款支出0万元</w:t>
      </w:r>
      <w:r>
        <w:rPr>
          <w:rFonts w:hint="eastAsia" w:ascii="仿宋_GB2312" w:eastAsia="仿宋_GB2312"/>
          <w:sz w:val="32"/>
          <w:szCs w:val="32"/>
        </w:rPr>
        <w:t>。</w:t>
      </w:r>
    </w:p>
    <w:p>
      <w:pPr>
        <w:numPr>
          <w:ilvl w:val="0"/>
          <w:numId w:val="3"/>
        </w:numPr>
        <w:spacing w:line="600" w:lineRule="exact"/>
        <w:ind w:firstLine="640"/>
        <w:outlineLvl w:val="1"/>
        <w:rPr>
          <w:rStyle w:val="27"/>
          <w:rFonts w:ascii="黑体" w:hAnsi="黑体" w:eastAsia="黑体"/>
          <w:b w:val="0"/>
        </w:rPr>
      </w:pPr>
      <w:bookmarkStart w:id="44" w:name="_Toc15396612"/>
      <w:bookmarkStart w:id="45" w:name="_Toc15377221"/>
      <w:r>
        <w:rPr>
          <w:rStyle w:val="2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2022年，市生活垃圾分类中心机关运行经费支出0万元。主要原因是我单位2022年未发生机关运行经费支出，且我单位为2022年新成立的独立预算单位，上年无数据。</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生活垃圾分类</w:t>
      </w:r>
      <w:r>
        <w:rPr>
          <w:rFonts w:hint="eastAsia" w:ascii="仿宋_GB2312" w:hAnsi="仿宋_GB2312" w:eastAsia="仿宋_GB2312" w:cs="仿宋_GB2312"/>
          <w:sz w:val="32"/>
          <w:szCs w:val="32"/>
        </w:rPr>
        <w:t>中心</w:t>
      </w:r>
      <w:r>
        <w:rPr>
          <w:rFonts w:hint="eastAsia" w:ascii="仿宋_GB2312" w:eastAsia="仿宋_GB2312"/>
          <w:sz w:val="32"/>
          <w:szCs w:val="32"/>
        </w:rPr>
        <w:t>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both"/>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生活垃圾分类</w:t>
      </w:r>
      <w:r>
        <w:rPr>
          <w:rFonts w:hint="eastAsia" w:ascii="仿宋_GB2312" w:hAnsi="仿宋_GB2312" w:eastAsia="仿宋_GB2312" w:cs="仿宋_GB2312"/>
          <w:sz w:val="32"/>
          <w:szCs w:val="32"/>
        </w:rPr>
        <w:t>中心</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hAnsi="仿宋_GB2312" w:eastAsia="仿宋_GB2312" w:cs="仿宋_GB2312"/>
          <w:sz w:val="32"/>
          <w:szCs w:val="32"/>
        </w:rPr>
        <w:t>属于其他用车</w:t>
      </w:r>
      <w:r>
        <w:rPr>
          <w:rFonts w:hint="eastAsia" w:ascii="仿宋_GB2312" w:eastAsia="仿宋_GB2312"/>
          <w:sz w:val="32"/>
          <w:szCs w:val="32"/>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督查市城区和各县区生活垃圾分类、指导城市市容环境卫生、监管生活垃圾收运处置场地运营等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用车。单价100万元以上专用设备0台（套）。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p>
    <w:p>
      <w:pPr>
        <w:pStyle w:val="6"/>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财政拨款收入：指单位从同级财政部门取得的财政预算资金。</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其他收入：指单位取得的除上述收入以外的各项收入。</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利息</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年初结转和结余：</w:t>
      </w:r>
      <w:r>
        <w:rPr>
          <w:rFonts w:hint="eastAsia" w:ascii="仿宋_GB2312" w:eastAsia="仿宋_GB2312"/>
          <w:color w:val="auto"/>
          <w:sz w:val="32"/>
          <w:szCs w:val="32"/>
          <w:highlight w:val="none"/>
        </w:rPr>
        <w:t>指以前年度尚未完成、结转到本年按有关规定继续使用的资金。</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年末结转和结余：</w:t>
      </w:r>
      <w:r>
        <w:rPr>
          <w:rFonts w:hint="eastAsia" w:ascii="仿宋_GB2312" w:eastAsia="仿宋_GB2312"/>
          <w:color w:val="auto"/>
          <w:sz w:val="32"/>
          <w:szCs w:val="32"/>
          <w:highlight w:val="none"/>
        </w:rPr>
        <w:t>指单位按有关规定结转到下年或以后年度继续使用的资金。</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社会保障和就业支出（类）行政事业单位养老支出（款）</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机关事业单位基本养老保险缴费支出（项）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实施养老保险制度由单位缴纳的养老保险费支出。</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ascii="仿宋_GB2312" w:hAnsi="仿宋_GB2312" w:eastAsia="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社会保障和就业支出（类）行政事业单位养老支出（款）</w:t>
      </w:r>
      <w:r>
        <w:rPr>
          <w:rFonts w:ascii="仿宋_GB2312" w:hAnsi="仿宋_GB2312" w:eastAsia="仿宋_GB2312" w:cs="仿宋_GB2312"/>
          <w:sz w:val="32"/>
          <w:szCs w:val="32"/>
        </w:rPr>
        <w:t xml:space="preserve"> </w:t>
      </w:r>
      <w:r>
        <w:rPr>
          <w:rFonts w:hint="default"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w:t>
      </w:r>
      <w:r>
        <w:rPr>
          <w:rFonts w:hint="default" w:ascii="仿宋_GB2312" w:hAnsi="Times New Roman" w:eastAsia="仿宋_GB2312" w:cs="仿宋_GB2312"/>
          <w:kern w:val="2"/>
          <w:sz w:val="32"/>
          <w:szCs w:val="32"/>
          <w:lang w:val="en-US" w:eastAsia="zh-CN" w:bidi="ar"/>
        </w:rPr>
        <w:t>指反映机关事业单位实施养老保险制度由单位实际缴纳的职业年金支出。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7. </w:t>
      </w:r>
      <w:r>
        <w:rPr>
          <w:rFonts w:hint="eastAsia" w:ascii="仿宋_GB2312" w:hAnsi="仿宋_GB2312" w:eastAsia="仿宋_GB2312" w:cs="仿宋_GB2312"/>
          <w:sz w:val="32"/>
          <w:szCs w:val="32"/>
        </w:rPr>
        <w:t>卫生健康支出（类）行政事业单位医疗（款）</w:t>
      </w:r>
      <w:r>
        <w:rPr>
          <w:rFonts w:ascii="仿宋_GB2312" w:hAnsi="仿宋_GB2312" w:eastAsia="仿宋_GB2312"/>
          <w:sz w:val="32"/>
          <w:szCs w:val="32"/>
        </w:rPr>
        <w:t> </w:t>
      </w:r>
      <w:r>
        <w:rPr>
          <w:rFonts w:hint="eastAsia" w:ascii="仿宋_GB2312" w:hAnsi="仿宋_GB2312" w:eastAsia="仿宋_GB2312" w:cs="仿宋_GB2312"/>
          <w:sz w:val="32"/>
          <w:szCs w:val="32"/>
        </w:rPr>
        <w:t>事业单位医疗（项）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8. </w:t>
      </w:r>
      <w:r>
        <w:rPr>
          <w:rFonts w:hint="eastAsia" w:ascii="仿宋_GB2312" w:hAnsi="仿宋_GB2312" w:eastAsia="仿宋_GB2312" w:cs="仿宋_GB2312"/>
          <w:sz w:val="32"/>
          <w:szCs w:val="32"/>
        </w:rPr>
        <w:t>城乡社区支出（类）城乡社区管理事务（款）其他城乡社区管理事务支出（项）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指其他用于城乡社区管理事务方面的支出。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9. </w:t>
      </w:r>
      <w:r>
        <w:rPr>
          <w:rFonts w:hint="eastAsia" w:ascii="仿宋_GB2312" w:hAnsi="仿宋_GB2312" w:eastAsia="仿宋_GB2312" w:cs="仿宋_GB2312"/>
          <w:sz w:val="32"/>
          <w:szCs w:val="32"/>
        </w:rPr>
        <w:t>住房保障支出（类）住房改革支出（款）住房公积金（项）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事业单位按人力资源和社会保障部、财政部规定的基本工资和津补贴以及规定比例为职工缴纳的住房公积金。</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10. </w:t>
      </w:r>
      <w:r>
        <w:rPr>
          <w:rFonts w:hint="eastAsia" w:ascii="仿宋_GB2312" w:hAnsi="仿宋_GB2312" w:eastAsia="仿宋_GB2312" w:cs="仿宋_GB2312"/>
          <w:sz w:val="32"/>
          <w:szCs w:val="32"/>
        </w:rPr>
        <w:t>基本支出：</w:t>
      </w:r>
      <w:r>
        <w:rPr>
          <w:rFonts w:hint="eastAsia" w:ascii="仿宋_GB2312" w:eastAsia="仿宋_GB2312"/>
          <w:color w:val="auto"/>
          <w:sz w:val="32"/>
          <w:szCs w:val="32"/>
          <w:highlight w:val="none"/>
        </w:rPr>
        <w:t>指为保障机构正常运转、完成日常工作任务而发生的人员支出和公用支出</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11. </w:t>
      </w:r>
      <w:r>
        <w:rPr>
          <w:rFonts w:hint="eastAsia" w:ascii="仿宋_GB2312" w:hAnsi="仿宋_GB2312" w:eastAsia="仿宋_GB2312" w:cs="仿宋_GB2312"/>
          <w:sz w:val="32"/>
          <w:szCs w:val="32"/>
        </w:rPr>
        <w:t>项目支出：</w:t>
      </w:r>
      <w:r>
        <w:rPr>
          <w:rFonts w:hint="eastAsia" w:ascii="仿宋_GB2312" w:eastAsia="仿宋_GB2312"/>
          <w:color w:val="auto"/>
          <w:sz w:val="32"/>
          <w:szCs w:val="32"/>
          <w:highlight w:val="none"/>
        </w:rPr>
        <w:t>指在基本支出之外为完成特定行政任务和事业发展目标所发生的支出</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“三公”经费：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rPr>
        <w:t>。</w:t>
      </w:r>
    </w:p>
    <w:p>
      <w:pPr>
        <w:pStyle w:val="24"/>
        <w:spacing w:line="560" w:lineRule="exact"/>
        <w:ind w:firstLine="640" w:firstLineChars="200"/>
        <w:rPr>
          <w:rFonts w:ascii="仿宋_GB2312" w:eastAsia="仿宋_GB2312"/>
          <w:color w:val="auto"/>
          <w:sz w:val="32"/>
          <w:szCs w:val="32"/>
        </w:rPr>
      </w:pPr>
    </w:p>
    <w:p>
      <w:pPr>
        <w:pStyle w:val="24"/>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p>
    <w:p>
      <w:pPr>
        <w:rPr>
          <w:rFonts w:ascii="宋体"/>
          <w:b/>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51" w:name="_Toc15377226"/>
      <w:r>
        <w:rPr>
          <w:rFonts w:ascii="宋体"/>
          <w:b/>
          <w:sz w:val="44"/>
          <w:szCs w:val="44"/>
        </w:rPr>
        <w:br w:type="page"/>
      </w:r>
    </w:p>
    <w:p>
      <w:pPr>
        <w:spacing w:line="600" w:lineRule="exact"/>
        <w:jc w:val="center"/>
        <w:outlineLvl w:val="0"/>
        <w:rPr>
          <w:rStyle w:val="26"/>
          <w:rFonts w:ascii="黑体" w:hAnsi="黑体" w:eastAsia="黑体"/>
          <w:b w:val="0"/>
        </w:rPr>
      </w:pPr>
      <w:bookmarkStart w:id="52" w:name="_Toc15396614"/>
      <w:r>
        <w:rPr>
          <w:rFonts w:hint="eastAsia" w:ascii="黑体" w:hAnsi="黑体" w:eastAsia="黑体"/>
          <w:sz w:val="44"/>
          <w:szCs w:val="44"/>
        </w:rPr>
        <w:t>第</w:t>
      </w:r>
      <w:r>
        <w:rPr>
          <w:rStyle w:val="26"/>
          <w:rFonts w:hint="eastAsia" w:ascii="黑体" w:hAnsi="黑体" w:eastAsia="黑体"/>
          <w:b w:val="0"/>
        </w:rPr>
        <w:t>四部分 附件</w:t>
      </w:r>
      <w:bookmarkEnd w:id="52"/>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979"/>
        <w:gridCol w:w="1823"/>
        <w:gridCol w:w="2127"/>
        <w:gridCol w:w="642"/>
        <w:gridCol w:w="1158"/>
        <w:gridCol w:w="967"/>
        <w:gridCol w:w="1150"/>
        <w:gridCol w:w="576"/>
        <w:gridCol w:w="607"/>
        <w:gridCol w:w="2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1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严格执行相关政策，工资发放及时。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highlight w:val="none"/>
                <w:u w:val="none"/>
                <w:lang w:val="en-US" w:eastAsia="zh-CN" w:bidi="ar"/>
              </w:rPr>
              <w:t>工资性支出严格执行人员编制管理制度、工资管理制度和财政关于各种津贴、补贴、奖金、福利待遇方面的规定，工资变动、人员调动等严格依据“机关事业单位工作人员工资变动审批表”。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52.51</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52.51</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工资性支出严格执行人员编制管理制度、工资管理制度和财政关于各种津贴、补贴、奖金、福利待遇方面的规定，工资变动、人员调动等严格依据“机关事业单位工作人员工资变动审批表”，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项目负责人：刘婧</w:t>
            </w:r>
          </w:p>
        </w:tc>
        <w:tc>
          <w:tcPr>
            <w:tcW w:w="68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0"/>
          <w:szCs w:val="40"/>
          <w:lang w:val="zh-CN"/>
        </w:r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395"/>
        <w:gridCol w:w="1350"/>
        <w:gridCol w:w="1933"/>
        <w:gridCol w:w="983"/>
        <w:gridCol w:w="850"/>
        <w:gridCol w:w="1034"/>
        <w:gridCol w:w="1166"/>
        <w:gridCol w:w="717"/>
        <w:gridCol w:w="667"/>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16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严格执行相关政策，保障退休人员</w:t>
            </w:r>
            <w:r>
              <w:rPr>
                <w:rFonts w:ascii="宋体" w:hAnsi="宋体" w:eastAsia="宋体" w:cs="宋体"/>
                <w:i w:val="0"/>
                <w:iCs w:val="0"/>
                <w:color w:val="000000"/>
                <w:kern w:val="0"/>
                <w:sz w:val="18"/>
                <w:szCs w:val="18"/>
                <w:u w:val="none"/>
                <w:lang w:val="en-US" w:eastAsia="zh-CN" w:bidi="ar"/>
              </w:rPr>
              <w:t>工资及时发放、足额发放</w:t>
            </w:r>
            <w:r>
              <w:rPr>
                <w:rFonts w:hint="eastAsia" w:ascii="黑体" w:hAnsi="黑体" w:eastAsia="黑体" w:cs="黑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highlight w:val="none"/>
                <w:u w:val="none"/>
                <w:lang w:val="en-US" w:eastAsia="zh-CN" w:bidi="ar"/>
              </w:rPr>
              <w:t>离退休费支出严格执行人员编制管理制度及组织部关于人员退休的通知。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项目指标全面完成，项目社会效益明显，退休人员得到保障。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项目负责人：刘婧</w:t>
            </w:r>
          </w:p>
        </w:tc>
        <w:tc>
          <w:tcPr>
            <w:tcW w:w="6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0"/>
          <w:szCs w:val="40"/>
          <w:lang w:val="zh-CN"/>
        </w:r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796"/>
        <w:gridCol w:w="1050"/>
        <w:gridCol w:w="3416"/>
        <w:gridCol w:w="750"/>
        <w:gridCol w:w="767"/>
        <w:gridCol w:w="733"/>
        <w:gridCol w:w="1117"/>
        <w:gridCol w:w="583"/>
        <w:gridCol w:w="666"/>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11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组织日常党建</w:t>
            </w:r>
            <w:r>
              <w:rPr>
                <w:rFonts w:hint="eastAsia" w:ascii="宋体" w:hAnsi="宋体" w:cs="宋体"/>
                <w:i w:val="0"/>
                <w:iCs w:val="0"/>
                <w:color w:val="000000"/>
                <w:kern w:val="0"/>
                <w:sz w:val="18"/>
                <w:szCs w:val="18"/>
                <w:u w:val="none"/>
                <w:lang w:val="en-US" w:eastAsia="zh-CN" w:bidi="ar"/>
              </w:rPr>
              <w:t>等</w:t>
            </w:r>
            <w:r>
              <w:rPr>
                <w:rFonts w:hint="eastAsia" w:ascii="宋体" w:hAnsi="宋体" w:eastAsia="宋体" w:cs="宋体"/>
                <w:i w:val="0"/>
                <w:iCs w:val="0"/>
                <w:color w:val="000000"/>
                <w:kern w:val="0"/>
                <w:sz w:val="18"/>
                <w:szCs w:val="18"/>
                <w:u w:val="none"/>
                <w:lang w:val="en-US" w:eastAsia="zh-CN" w:bidi="ar"/>
              </w:rPr>
              <w:t>活动，</w:t>
            </w:r>
            <w:r>
              <w:rPr>
                <w:rFonts w:hint="eastAsia" w:ascii="宋体" w:hAnsi="宋体" w:cs="宋体"/>
                <w:i w:val="0"/>
                <w:iCs w:val="0"/>
                <w:color w:val="000000"/>
                <w:kern w:val="0"/>
                <w:sz w:val="18"/>
                <w:szCs w:val="18"/>
                <w:u w:val="none"/>
                <w:lang w:val="en-US" w:eastAsia="zh-CN" w:bidi="ar"/>
              </w:rPr>
              <w:t>按时发放节假日及生日福利，保障单位日常运转和员工福利。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项目指标全面完成，项目社会效益明显。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项目负责人：李海弋</w:t>
            </w:r>
          </w:p>
        </w:tc>
        <w:tc>
          <w:tcPr>
            <w:tcW w:w="6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zh-CN"/>
        </w:rPr>
      </w:pPr>
    </w:p>
    <w:p>
      <w:pPr>
        <w:rPr>
          <w:rFonts w:hint="eastAsia"/>
          <w:lang w:val="zh-CN"/>
        </w:r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2446"/>
        <w:gridCol w:w="1356"/>
        <w:gridCol w:w="1860"/>
        <w:gridCol w:w="967"/>
        <w:gridCol w:w="867"/>
        <w:gridCol w:w="1000"/>
        <w:gridCol w:w="1116"/>
        <w:gridCol w:w="584"/>
        <w:gridCol w:w="681"/>
        <w:gridCol w:w="2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11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严格执行相关政策，工资发放及时。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highlight w:val="none"/>
                <w:u w:val="none"/>
                <w:lang w:val="en-US" w:eastAsia="zh-CN" w:bidi="ar"/>
              </w:rPr>
              <w:t>工资性支出严格执行人员编制管理制度、工资管理制度和财政关于各种津贴、补贴、奖金、福利待遇方面的规定，工资变动、人员调动等严格依据“机关事业单位工作人员工资变动审批表”。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103.31</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97.98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103.31</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97.98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工资性支出严格执行人员编制管理制度、工资管理制度和财政关于各种津贴、补贴、奖金、福利待遇方面的规定，工资变动、人员调动等严格依据“机关事业单位工作人员工资变动审批表”，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项目负责人：刘婧</w:t>
            </w:r>
          </w:p>
        </w:tc>
        <w:tc>
          <w:tcPr>
            <w:tcW w:w="6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zh-CN"/>
        </w:r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700"/>
        <w:gridCol w:w="916"/>
        <w:gridCol w:w="3550"/>
        <w:gridCol w:w="767"/>
        <w:gridCol w:w="900"/>
        <w:gridCol w:w="667"/>
        <w:gridCol w:w="1116"/>
        <w:gridCol w:w="634"/>
        <w:gridCol w:w="633"/>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11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highlight w:val="none"/>
                <w:u w:val="none"/>
                <w:lang w:val="en-US" w:eastAsia="zh-CN" w:bidi="ar"/>
              </w:rPr>
              <w:t>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22.5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严格落实“过紧日子”十三条措施，严控“三公”经费、会议、培训等公用支出预算，严格执行市级机关差旅费管理办法，未擅自扩大开支范围、提高开支标准现象。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项目负责人：张东</w:t>
            </w:r>
          </w:p>
        </w:tc>
        <w:tc>
          <w:tcPr>
            <w:tcW w:w="64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pStyle w:val="11"/>
        <w:rPr>
          <w:rFonts w:hint="eastAsia"/>
          <w:lang w:val="zh-CN"/>
        </w:rPr>
      </w:pPr>
    </w:p>
    <w:p>
      <w:pPr>
        <w:rPr>
          <w:rFonts w:hint="eastAsia"/>
          <w:lang w:val="zh-CN"/>
        </w:rPr>
      </w:pPr>
    </w:p>
    <w:tbl>
      <w:tblPr>
        <w:tblStyle w:val="14"/>
        <w:tblW w:w="141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227"/>
        <w:gridCol w:w="1599"/>
        <w:gridCol w:w="2263"/>
        <w:gridCol w:w="955"/>
        <w:gridCol w:w="768"/>
        <w:gridCol w:w="667"/>
        <w:gridCol w:w="1148"/>
        <w:gridCol w:w="600"/>
        <w:gridCol w:w="633"/>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14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52" w:type="dxa"/>
            <w:gridSpan w:val="5"/>
            <w:tcBorders>
              <w:top w:val="single" w:color="000000" w:sz="4" w:space="0"/>
              <w:left w:val="single" w:color="000000" w:sz="4" w:space="0"/>
              <w:bottom w:val="single" w:color="000000" w:sz="4" w:space="0"/>
              <w:right w:val="single" w:color="000000" w:sz="4" w:space="0"/>
            </w:tcBorders>
            <w:shd w:val="clear" w:color="auto" w:fill="auto"/>
            <w:tcFitText/>
            <w:vAlign w:val="center"/>
          </w:tcPr>
          <w:p>
            <w:pPr>
              <w:rPr>
                <w:rFonts w:hint="eastAsia" w:ascii="宋体" w:hAnsi="宋体" w:eastAsia="宋体" w:cs="宋体"/>
                <w:i w:val="0"/>
                <w:iCs w:val="0"/>
                <w:color w:val="000000"/>
                <w:spacing w:val="0"/>
                <w:sz w:val="18"/>
                <w:szCs w:val="18"/>
                <w:u w:val="none"/>
              </w:rPr>
            </w:pPr>
            <w:r>
              <w:rPr>
                <w:rFonts w:hint="default" w:ascii="宋体" w:hAnsi="宋体" w:eastAsia="宋体" w:cs="宋体"/>
                <w:i w:val="0"/>
                <w:iCs w:val="0"/>
                <w:color w:val="000000"/>
                <w:spacing w:val="1"/>
                <w:w w:val="92"/>
                <w:kern w:val="0"/>
                <w:sz w:val="18"/>
                <w:szCs w:val="18"/>
                <w:highlight w:val="none"/>
                <w:u w:val="none"/>
                <w:lang w:val="en-US" w:eastAsia="zh-CN" w:bidi="ar"/>
              </w:rPr>
              <w:t>严格执行相关政策，保障规范后市级基础绩效奖及生活补助及时发放、足额发放</w:t>
            </w:r>
            <w:r>
              <w:rPr>
                <w:rFonts w:hint="default" w:ascii="宋体" w:hAnsi="宋体" w:eastAsia="宋体" w:cs="宋体"/>
                <w:i w:val="0"/>
                <w:iCs w:val="0"/>
                <w:color w:val="000000"/>
                <w:spacing w:val="0"/>
                <w:w w:val="92"/>
                <w:kern w:val="0"/>
                <w:sz w:val="18"/>
                <w:szCs w:val="18"/>
                <w:highlight w:val="none"/>
                <w:u w:val="none"/>
                <w:lang w:val="en-US" w:eastAsia="zh-CN" w:bidi="ar"/>
              </w:rPr>
              <w:t>。</w:t>
            </w:r>
          </w:p>
        </w:tc>
        <w:tc>
          <w:tcPr>
            <w:tcW w:w="4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规范后市级基础绩效奖及生活补助及时发放、足额发放。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tcFitText/>
            <w:vAlign w:val="center"/>
          </w:tcPr>
          <w:p>
            <w:pPr>
              <w:keepNext w:val="0"/>
              <w:keepLines w:val="0"/>
              <w:widowControl/>
              <w:suppressLineNumbers w:val="0"/>
              <w:jc w:val="left"/>
              <w:textAlignment w:val="center"/>
              <w:rPr>
                <w:rFonts w:ascii="宋体" w:hAnsi="宋体" w:eastAsia="宋体" w:cs="宋体"/>
                <w:i w:val="0"/>
                <w:iCs w:val="0"/>
                <w:color w:val="000000"/>
                <w:spacing w:val="0"/>
                <w:sz w:val="18"/>
                <w:szCs w:val="18"/>
                <w:u w:val="none"/>
              </w:rPr>
            </w:pPr>
            <w:r>
              <w:rPr>
                <w:rFonts w:ascii="宋体" w:hAnsi="宋体" w:eastAsia="宋体" w:cs="宋体"/>
                <w:i w:val="0"/>
                <w:iCs w:val="0"/>
                <w:color w:val="000000"/>
                <w:spacing w:val="1"/>
                <w:w w:val="92"/>
                <w:kern w:val="0"/>
                <w:sz w:val="18"/>
                <w:szCs w:val="18"/>
                <w:u w:val="none"/>
                <w:lang w:val="en-US" w:eastAsia="zh-CN" w:bidi="ar"/>
              </w:rPr>
              <w:t>2.项目实施内容及过程概</w:t>
            </w:r>
            <w:r>
              <w:rPr>
                <w:rFonts w:ascii="宋体" w:hAnsi="宋体" w:eastAsia="宋体" w:cs="宋体"/>
                <w:i w:val="0"/>
                <w:iCs w:val="0"/>
                <w:color w:val="000000"/>
                <w:spacing w:val="0"/>
                <w:w w:val="92"/>
                <w:kern w:val="0"/>
                <w:sz w:val="18"/>
                <w:szCs w:val="18"/>
                <w:u w:val="none"/>
                <w:lang w:val="en-US" w:eastAsia="zh-CN" w:bidi="ar"/>
              </w:rPr>
              <w:t>述</w:t>
            </w:r>
          </w:p>
        </w:tc>
        <w:tc>
          <w:tcPr>
            <w:tcW w:w="11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highlight w:val="none"/>
                <w:u w:val="none"/>
                <w:lang w:val="en-US" w:eastAsia="zh-CN" w:bidi="ar"/>
              </w:rPr>
              <w:t>规范后市级基础绩效奖及生活补助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59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科目调整次数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微软雅黑" w:hAnsi="微软雅黑" w:eastAsia="微软雅黑" w:cs="微软雅黑"/>
                <w:i w:val="0"/>
                <w:iCs w:val="0"/>
                <w:color w:val="000000"/>
                <w:kern w:val="2"/>
                <w:sz w:val="16"/>
                <w:szCs w:val="16"/>
                <w:highlight w:val="none"/>
                <w:u w:val="none"/>
                <w:lang w:val="en-US" w:eastAsia="zh-CN" w:bidi="ar-SA"/>
              </w:rPr>
            </w:pPr>
            <w:r>
              <w:rPr>
                <w:rFonts w:hint="eastAsia" w:ascii="微软雅黑" w:hAnsi="微软雅黑" w:eastAsia="微软雅黑" w:cs="微软雅黑"/>
                <w:i w:val="0"/>
                <w:iCs w:val="0"/>
                <w:color w:val="000000"/>
                <w:kern w:val="0"/>
                <w:sz w:val="16"/>
                <w:szCs w:val="16"/>
                <w:highlight w:val="none"/>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足额保障率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微软雅黑" w:hAnsi="微软雅黑" w:eastAsia="微软雅黑" w:cs="微软雅黑"/>
                <w:i w:val="0"/>
                <w:iCs w:val="0"/>
                <w:color w:val="000000"/>
                <w:kern w:val="2"/>
                <w:sz w:val="16"/>
                <w:szCs w:val="16"/>
                <w:highlight w:val="none"/>
                <w:u w:val="none"/>
                <w:lang w:val="en-US" w:eastAsia="zh-CN" w:bidi="ar-SA"/>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按时发放率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微软雅黑" w:hAnsi="微软雅黑" w:eastAsia="微软雅黑" w:cs="微软雅黑"/>
                <w:i w:val="0"/>
                <w:iCs w:val="0"/>
                <w:color w:val="000000"/>
                <w:kern w:val="2"/>
                <w:sz w:val="16"/>
                <w:szCs w:val="16"/>
                <w:highlight w:val="none"/>
                <w:u w:val="none"/>
                <w:lang w:val="en-US" w:eastAsia="zh-CN" w:bidi="ar-SA"/>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经济效益指标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结余率（计算方法为：结余数/预算数）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微软雅黑" w:hAnsi="微软雅黑" w:eastAsia="微软雅黑" w:cs="微软雅黑"/>
                <w:i w:val="0"/>
                <w:iCs w:val="0"/>
                <w:color w:val="000000"/>
                <w:kern w:val="2"/>
                <w:sz w:val="16"/>
                <w:szCs w:val="16"/>
                <w:highlight w:val="none"/>
                <w:u w:val="none"/>
                <w:lang w:val="en-US" w:eastAsia="zh-CN" w:bidi="ar-SA"/>
              </w:rPr>
            </w:pPr>
            <w:r>
              <w:rPr>
                <w:rFonts w:hint="eastAsia" w:ascii="微软雅黑" w:hAnsi="微软雅黑" w:eastAsia="微软雅黑" w:cs="微软雅黑"/>
                <w:i w:val="0"/>
                <w:iCs w:val="0"/>
                <w:color w:val="000000"/>
                <w:kern w:val="0"/>
                <w:sz w:val="16"/>
                <w:szCs w:val="16"/>
                <w:highlight w:val="none"/>
                <w:u w:val="none"/>
                <w:lang w:val="en-US" w:eastAsia="zh-CN" w:bidi="ar"/>
              </w:rPr>
              <w:t>3.68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0"/>
                <w:sz w:val="18"/>
                <w:szCs w:val="18"/>
                <w:highlight w:val="none"/>
                <w:u w:val="none"/>
                <w:lang w:val="en-US" w:eastAsia="zh-CN" w:bidi="ar"/>
              </w:rPr>
              <w:t>22.5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工资性支出严格执行人员编制管理制度、工资管理制度和财政关于各种津贴、补贴、奖金、福利待遇方面的规定，工资变动、人员调动等严格依据“机关事业单位工作人员工资变动审批表”，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项目负责人：刘婧</w:t>
            </w:r>
          </w:p>
        </w:tc>
        <w:tc>
          <w:tcPr>
            <w:tcW w:w="63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zh-CN"/>
        </w:rPr>
      </w:pPr>
    </w:p>
    <w:tbl>
      <w:tblPr>
        <w:tblStyle w:val="14"/>
        <w:tblW w:w="14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1861"/>
        <w:gridCol w:w="717"/>
        <w:gridCol w:w="1400"/>
        <w:gridCol w:w="700"/>
        <w:gridCol w:w="1384"/>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51080023T000008629800-第十四批引进高层次人才安家补助和工作补助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4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广元市城市管理行政执法局部门</w:t>
            </w:r>
          </w:p>
        </w:tc>
        <w:tc>
          <w:tcPr>
            <w:tcW w:w="138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4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完成单位引进的1名高层次人才安家补助和2022年度工作补助的发放，安家补助和2022年度工作补助分别为8万元、3000元。</w:t>
            </w:r>
          </w:p>
        </w:tc>
        <w:tc>
          <w:tcPr>
            <w:tcW w:w="4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完成了单位引进的1名高层次人才安家补助和2022年度工作补助的发放，安家补助和2022年度工作补助分别发放8万元、3000元。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根据《广元市财政局关于下达市级财政专项资金的通知》（广财社〔2023〕180号）要求，完成了单位引进的1名高层次人才安家补助和2022年度工作补助的发放，安家补助和2022年度工作补助分别发放8万元、3000元。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引进人才数量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助力全市提升生活垃圾分类水平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生活垃圾分类提质增效，城乡环境有所改善</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生活垃圾分类提质增效，城乡环境有所改善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用人单位满意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用人单位满意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用人单位满意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引进人才对提高全市生活垃圾分类水平带来了一定帮助，第十四批引进高层次人才专项资金项目绩效目标完成良好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项目负责人：张东</w:t>
            </w:r>
          </w:p>
        </w:tc>
        <w:tc>
          <w:tcPr>
            <w:tcW w:w="7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财务负责人：何冬梅</w:t>
            </w:r>
          </w:p>
        </w:tc>
      </w:tr>
    </w:tbl>
    <w:p>
      <w:pPr>
        <w:pStyle w:val="2"/>
        <w:rPr>
          <w:rFonts w:ascii="黑体" w:hAnsi="黑体" w:eastAsia="黑体"/>
          <w:sz w:val="44"/>
          <w:szCs w:val="44"/>
        </w:rPr>
        <w:sectPr>
          <w:footerReference r:id="rId7" w:type="first"/>
          <w:footerReference r:id="rId6" w:type="default"/>
          <w:pgSz w:w="16838" w:h="11906" w:orient="landscape"/>
          <w:pgMar w:top="1800" w:right="1440" w:bottom="1800" w:left="1440" w:header="851" w:footer="992" w:gutter="0"/>
          <w:pgNumType w:fmt="decimal" w:start="15"/>
          <w:cols w:space="425" w:num="1"/>
          <w:titlePg/>
          <w:docGrid w:type="lines" w:linePitch="312" w:charSpace="0"/>
        </w:sectPr>
      </w:pPr>
      <w:bookmarkStart w:id="53" w:name="_Toc15396618"/>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3"/>
      <w:bookmarkStart w:id="54" w:name="_Toc15396619"/>
    </w:p>
    <w:p>
      <w:pPr>
        <w:pStyle w:val="4"/>
        <w:rPr>
          <w:rStyle w:val="27"/>
          <w:rFonts w:ascii="仿宋" w:hAnsi="仿宋" w:eastAsia="仿宋"/>
          <w:b w:val="0"/>
          <w:bCs w:val="0"/>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4"/>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4"/>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w:t>
      </w:r>
      <w:r>
        <w:rPr>
          <w:rStyle w:val="27"/>
          <w:rFonts w:hint="eastAsia" w:ascii="仿宋" w:hAnsi="仿宋" w:eastAsia="仿宋"/>
          <w:b w:val="0"/>
          <w:bCs w:val="0"/>
          <w:lang w:eastAsia="zh-CN"/>
        </w:rPr>
        <w:t>基本</w:t>
      </w:r>
      <w:r>
        <w:rPr>
          <w:rStyle w:val="27"/>
          <w:rFonts w:hint="eastAsia" w:ascii="仿宋" w:hAnsi="仿宋" w:eastAsia="仿宋"/>
          <w:b w:val="0"/>
          <w:bCs w:val="0"/>
        </w:rPr>
        <w:t>支出决算</w:t>
      </w:r>
      <w:r>
        <w:rPr>
          <w:rStyle w:val="27"/>
          <w:rFonts w:hint="eastAsia" w:ascii="仿宋" w:hAnsi="仿宋" w:eastAsia="仿宋"/>
          <w:b w:val="0"/>
          <w:bCs w:val="0"/>
          <w:lang w:eastAsia="zh-CN"/>
        </w:rPr>
        <w:t>明细</w:t>
      </w:r>
      <w:r>
        <w:rPr>
          <w:rStyle w:val="27"/>
          <w:rFonts w:hint="eastAsia" w:ascii="仿宋" w:hAnsi="仿宋" w:eastAsia="仿宋"/>
          <w:b w:val="0"/>
          <w:bCs w:val="0"/>
        </w:rPr>
        <w:t>表</w:t>
      </w:r>
      <w:bookmarkEnd w:id="61"/>
    </w:p>
    <w:p>
      <w:pPr>
        <w:pStyle w:val="4"/>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4"/>
        <w:rPr>
          <w:rStyle w:val="27"/>
          <w:rFonts w:hint="eastAsia" w:ascii="仿宋" w:hAnsi="仿宋" w:eastAsia="仿宋"/>
          <w:b w:val="0"/>
          <w:bCs w:val="0"/>
        </w:rPr>
      </w:pPr>
      <w:bookmarkStart w:id="63" w:name="_Toc15396628"/>
      <w:r>
        <w:rPr>
          <w:rStyle w:val="27"/>
          <w:rFonts w:hint="eastAsia" w:ascii="仿宋" w:hAnsi="仿宋" w:eastAsia="仿宋"/>
          <w:b w:val="0"/>
          <w:bCs w:val="0"/>
        </w:rPr>
        <w:t>十、</w:t>
      </w:r>
      <w:r>
        <w:rPr>
          <w:rFonts w:hint="eastAsia" w:ascii="仿宋" w:hAnsi="仿宋" w:eastAsia="仿宋"/>
          <w:b w:val="0"/>
        </w:rPr>
        <w:t>政</w:t>
      </w:r>
      <w:r>
        <w:rPr>
          <w:rStyle w:val="27"/>
          <w:rFonts w:hint="eastAsia" w:ascii="仿宋" w:hAnsi="仿宋" w:eastAsia="仿宋"/>
          <w:b w:val="0"/>
          <w:bCs w:val="0"/>
        </w:rPr>
        <w:t>府性基金预算财政拨款收入支出决算表</w:t>
      </w:r>
    </w:p>
    <w:bookmarkEnd w:id="63"/>
    <w:p>
      <w:pPr>
        <w:pStyle w:val="4"/>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pPr>
        <w:pStyle w:val="4"/>
        <w:rPr>
          <w:rStyle w:val="27"/>
          <w:rFonts w:ascii="仿宋" w:hAnsi="仿宋" w:eastAsia="仿宋"/>
          <w:b w:val="0"/>
          <w:bCs w:val="0"/>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p>
      <w:pPr>
        <w:rPr>
          <w:rFonts w:eastAsia="仿宋"/>
        </w:rPr>
      </w:pPr>
    </w:p>
    <w:sectPr>
      <w:footerReference r:id="rId9" w:type="first"/>
      <w:footerReference r:id="rId8" w:type="default"/>
      <w:pgSz w:w="11906" w:h="16838"/>
      <w:pgMar w:top="1440" w:right="1800" w:bottom="1440" w:left="1800" w:header="851" w:footer="992" w:gutter="0"/>
      <w:pgNumType w:fmt="decimal"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仿宋_GB2312">
    <w:altName w:val="仿宋"/>
    <w:panose1 w:val="00000000000000000000"/>
    <w:charset w:val="01"/>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841755"/>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sdt>
                    <w:sdtPr>
                      <w:id w:val="143841755"/>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11"/>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841755"/>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3841755"/>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11"/>
                    </w:pP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841755"/>
                          </w:sdtPr>
                          <w:sdtEndPr>
                            <w:rPr>
                              <w:rFonts w:hint="default"/>
                              <w:lang w:val="en-US"/>
                            </w:rPr>
                          </w:sdtEndPr>
                          <w:sdtContent>
                            <w:p>
                              <w:pPr>
                                <w:pStyle w:val="2"/>
                                <w:jc w:val="center"/>
                                <w:rPr>
                                  <w:rFonts w:hint="default"/>
                                  <w:lang w:val="en-US"/>
                                </w:rPr>
                              </w:pPr>
                              <w:r>
                                <w:rPr>
                                  <w:rFonts w:hint="eastAsia"/>
                                  <w:lang w:val="en-US" w:eastAsia="zh-CN"/>
                                </w:rPr>
                                <w:t>26</w:t>
                              </w:r>
                            </w:p>
                          </w:sdtContent>
                        </w:sd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3841755"/>
                    </w:sdtPr>
                    <w:sdtEndPr>
                      <w:rPr>
                        <w:rFonts w:hint="default"/>
                        <w:lang w:val="en-US"/>
                      </w:rPr>
                    </w:sdtEndPr>
                    <w:sdtContent>
                      <w:p>
                        <w:pPr>
                          <w:pStyle w:val="2"/>
                          <w:jc w:val="center"/>
                          <w:rPr>
                            <w:rFonts w:hint="default"/>
                            <w:lang w:val="en-US"/>
                          </w:rPr>
                        </w:pPr>
                        <w:r>
                          <w:rPr>
                            <w:rFonts w:hint="eastAsia"/>
                            <w:lang w:val="en-US" w:eastAsia="zh-CN"/>
                          </w:rPr>
                          <w:t>26</w:t>
                        </w:r>
                      </w:p>
                    </w:sdtContent>
                  </w:sdt>
                  <w:p>
                    <w:pPr>
                      <w:pStyle w:val="11"/>
                    </w:pP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57C19C0"/>
    <w:multiLevelType w:val="singleLevel"/>
    <w:tmpl w:val="F57C19C0"/>
    <w:lvl w:ilvl="0" w:tentative="0">
      <w:start w:val="1"/>
      <w:numFmt w:val="decimal"/>
      <w:suff w:val="space"/>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DEzZWIxMTJjMGFhOWM5MWM1NTkxYTg1YWNmYWYifQ=="/>
  </w:docVars>
  <w:rsids>
    <w:rsidRoot w:val="00F1361C"/>
    <w:rsid w:val="000222C6"/>
    <w:rsid w:val="0002549F"/>
    <w:rsid w:val="000370EF"/>
    <w:rsid w:val="00041289"/>
    <w:rsid w:val="000468DB"/>
    <w:rsid w:val="00062E51"/>
    <w:rsid w:val="0006487A"/>
    <w:rsid w:val="00065F8F"/>
    <w:rsid w:val="00070A43"/>
    <w:rsid w:val="000768F2"/>
    <w:rsid w:val="0009184B"/>
    <w:rsid w:val="00094236"/>
    <w:rsid w:val="0009593C"/>
    <w:rsid w:val="00097322"/>
    <w:rsid w:val="000A6A92"/>
    <w:rsid w:val="000B047F"/>
    <w:rsid w:val="000B2B22"/>
    <w:rsid w:val="000B5923"/>
    <w:rsid w:val="000B5A48"/>
    <w:rsid w:val="000B6FF3"/>
    <w:rsid w:val="000C3467"/>
    <w:rsid w:val="000C3CA6"/>
    <w:rsid w:val="000D1267"/>
    <w:rsid w:val="000D1D50"/>
    <w:rsid w:val="000D5782"/>
    <w:rsid w:val="000E6613"/>
    <w:rsid w:val="000E7119"/>
    <w:rsid w:val="001067C9"/>
    <w:rsid w:val="00114E9B"/>
    <w:rsid w:val="0012320E"/>
    <w:rsid w:val="00142216"/>
    <w:rsid w:val="00144D6A"/>
    <w:rsid w:val="0014729F"/>
    <w:rsid w:val="001569B7"/>
    <w:rsid w:val="00157BAB"/>
    <w:rsid w:val="001654D1"/>
    <w:rsid w:val="00174518"/>
    <w:rsid w:val="0018106D"/>
    <w:rsid w:val="001877A7"/>
    <w:rsid w:val="00191536"/>
    <w:rsid w:val="00196687"/>
    <w:rsid w:val="001C0962"/>
    <w:rsid w:val="001D58D0"/>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3197"/>
    <w:rsid w:val="00380C92"/>
    <w:rsid w:val="003A484F"/>
    <w:rsid w:val="003A4883"/>
    <w:rsid w:val="003B0BE0"/>
    <w:rsid w:val="003B0C1B"/>
    <w:rsid w:val="003B688C"/>
    <w:rsid w:val="003C0291"/>
    <w:rsid w:val="003C39AE"/>
    <w:rsid w:val="003C7B60"/>
    <w:rsid w:val="003D0C0F"/>
    <w:rsid w:val="003D1FB2"/>
    <w:rsid w:val="003D66DA"/>
    <w:rsid w:val="003E1310"/>
    <w:rsid w:val="003E4E93"/>
    <w:rsid w:val="003E6F55"/>
    <w:rsid w:val="00406254"/>
    <w:rsid w:val="00413C90"/>
    <w:rsid w:val="004223DE"/>
    <w:rsid w:val="00434489"/>
    <w:rsid w:val="00437085"/>
    <w:rsid w:val="00443880"/>
    <w:rsid w:val="004464F4"/>
    <w:rsid w:val="00471401"/>
    <w:rsid w:val="00473F31"/>
    <w:rsid w:val="0048263A"/>
    <w:rsid w:val="00487E5D"/>
    <w:rsid w:val="004A711F"/>
    <w:rsid w:val="004B199D"/>
    <w:rsid w:val="004B4690"/>
    <w:rsid w:val="004D1634"/>
    <w:rsid w:val="004E0A2D"/>
    <w:rsid w:val="004E206B"/>
    <w:rsid w:val="004E6DF7"/>
    <w:rsid w:val="004F0FBD"/>
    <w:rsid w:val="00500DA1"/>
    <w:rsid w:val="00505A47"/>
    <w:rsid w:val="00512FDA"/>
    <w:rsid w:val="00520DA0"/>
    <w:rsid w:val="00522A77"/>
    <w:rsid w:val="005664BB"/>
    <w:rsid w:val="00566FFA"/>
    <w:rsid w:val="0057481D"/>
    <w:rsid w:val="00577E52"/>
    <w:rsid w:val="0058486E"/>
    <w:rsid w:val="00585B33"/>
    <w:rsid w:val="0059014D"/>
    <w:rsid w:val="005925BB"/>
    <w:rsid w:val="005B5C64"/>
    <w:rsid w:val="005C5337"/>
    <w:rsid w:val="005C6BD0"/>
    <w:rsid w:val="005D1C8B"/>
    <w:rsid w:val="005D468D"/>
    <w:rsid w:val="005D5CED"/>
    <w:rsid w:val="005D7BFC"/>
    <w:rsid w:val="005F1A4C"/>
    <w:rsid w:val="00601F70"/>
    <w:rsid w:val="00605688"/>
    <w:rsid w:val="006070AF"/>
    <w:rsid w:val="00607E6C"/>
    <w:rsid w:val="006101B1"/>
    <w:rsid w:val="00614E44"/>
    <w:rsid w:val="0062270A"/>
    <w:rsid w:val="00622830"/>
    <w:rsid w:val="00623DA0"/>
    <w:rsid w:val="00630AEF"/>
    <w:rsid w:val="006325F8"/>
    <w:rsid w:val="00633463"/>
    <w:rsid w:val="00634C9A"/>
    <w:rsid w:val="006440E4"/>
    <w:rsid w:val="00655EA0"/>
    <w:rsid w:val="0066343B"/>
    <w:rsid w:val="00664777"/>
    <w:rsid w:val="006748A4"/>
    <w:rsid w:val="00681A31"/>
    <w:rsid w:val="00683E73"/>
    <w:rsid w:val="006A3141"/>
    <w:rsid w:val="006A5E34"/>
    <w:rsid w:val="006B2422"/>
    <w:rsid w:val="006B2B9A"/>
    <w:rsid w:val="006C1937"/>
    <w:rsid w:val="006C4126"/>
    <w:rsid w:val="006D73B2"/>
    <w:rsid w:val="006F020C"/>
    <w:rsid w:val="006F2EAD"/>
    <w:rsid w:val="007127B7"/>
    <w:rsid w:val="00717012"/>
    <w:rsid w:val="0071798E"/>
    <w:rsid w:val="00735883"/>
    <w:rsid w:val="007416B6"/>
    <w:rsid w:val="00746F48"/>
    <w:rsid w:val="0075404D"/>
    <w:rsid w:val="0076182A"/>
    <w:rsid w:val="00767B7E"/>
    <w:rsid w:val="007717D0"/>
    <w:rsid w:val="007770C3"/>
    <w:rsid w:val="00784D24"/>
    <w:rsid w:val="00785FBA"/>
    <w:rsid w:val="00786E4A"/>
    <w:rsid w:val="007875EB"/>
    <w:rsid w:val="0079426B"/>
    <w:rsid w:val="007B41CD"/>
    <w:rsid w:val="007B4C8B"/>
    <w:rsid w:val="007D1682"/>
    <w:rsid w:val="007D312A"/>
    <w:rsid w:val="007D3F19"/>
    <w:rsid w:val="007E23B0"/>
    <w:rsid w:val="007E23E5"/>
    <w:rsid w:val="007E6B76"/>
    <w:rsid w:val="007E77DC"/>
    <w:rsid w:val="007F1991"/>
    <w:rsid w:val="007F2C2F"/>
    <w:rsid w:val="007F55FC"/>
    <w:rsid w:val="007F5665"/>
    <w:rsid w:val="00800112"/>
    <w:rsid w:val="00813348"/>
    <w:rsid w:val="008253BB"/>
    <w:rsid w:val="00836632"/>
    <w:rsid w:val="0083706E"/>
    <w:rsid w:val="008408F6"/>
    <w:rsid w:val="008423A5"/>
    <w:rsid w:val="00846188"/>
    <w:rsid w:val="00850625"/>
    <w:rsid w:val="00853718"/>
    <w:rsid w:val="00855221"/>
    <w:rsid w:val="00856339"/>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7C91"/>
    <w:rsid w:val="00923564"/>
    <w:rsid w:val="0092392E"/>
    <w:rsid w:val="009315F9"/>
    <w:rsid w:val="00933499"/>
    <w:rsid w:val="0093516D"/>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54F2"/>
    <w:rsid w:val="009D3447"/>
    <w:rsid w:val="009D4711"/>
    <w:rsid w:val="009D58F7"/>
    <w:rsid w:val="009D62B5"/>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51A"/>
    <w:rsid w:val="00A45BB7"/>
    <w:rsid w:val="00A56DF2"/>
    <w:rsid w:val="00A56E6E"/>
    <w:rsid w:val="00A67AB5"/>
    <w:rsid w:val="00A733B2"/>
    <w:rsid w:val="00A741C2"/>
    <w:rsid w:val="00A91760"/>
    <w:rsid w:val="00A93B00"/>
    <w:rsid w:val="00A93C21"/>
    <w:rsid w:val="00AA3FB6"/>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19E"/>
    <w:rsid w:val="00B53C56"/>
    <w:rsid w:val="00B57DAF"/>
    <w:rsid w:val="00B77EA6"/>
    <w:rsid w:val="00B81598"/>
    <w:rsid w:val="00B841F1"/>
    <w:rsid w:val="00B944D6"/>
    <w:rsid w:val="00BA1207"/>
    <w:rsid w:val="00BB4DF0"/>
    <w:rsid w:val="00BB503C"/>
    <w:rsid w:val="00BC289F"/>
    <w:rsid w:val="00BC2D50"/>
    <w:rsid w:val="00BC5361"/>
    <w:rsid w:val="00BC5460"/>
    <w:rsid w:val="00BC6B50"/>
    <w:rsid w:val="00BD0E25"/>
    <w:rsid w:val="00BF5BD6"/>
    <w:rsid w:val="00C03E31"/>
    <w:rsid w:val="00C14B9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6E9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5985"/>
    <w:rsid w:val="00D81BF6"/>
    <w:rsid w:val="00DA634F"/>
    <w:rsid w:val="00DA65AC"/>
    <w:rsid w:val="00DB1913"/>
    <w:rsid w:val="00DB1929"/>
    <w:rsid w:val="00DC410D"/>
    <w:rsid w:val="00DC5A81"/>
    <w:rsid w:val="00DC68CA"/>
    <w:rsid w:val="00DC7CBA"/>
    <w:rsid w:val="00DD73B7"/>
    <w:rsid w:val="00DF28BC"/>
    <w:rsid w:val="00DF34B9"/>
    <w:rsid w:val="00E01053"/>
    <w:rsid w:val="00E07ACF"/>
    <w:rsid w:val="00E331A1"/>
    <w:rsid w:val="00E33202"/>
    <w:rsid w:val="00E336A9"/>
    <w:rsid w:val="00E371FE"/>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FCD"/>
    <w:rsid w:val="00F36D8F"/>
    <w:rsid w:val="00F417B1"/>
    <w:rsid w:val="00F45853"/>
    <w:rsid w:val="00F602DF"/>
    <w:rsid w:val="00F650F9"/>
    <w:rsid w:val="00F754A1"/>
    <w:rsid w:val="00F81FD9"/>
    <w:rsid w:val="00F841AA"/>
    <w:rsid w:val="00F84A94"/>
    <w:rsid w:val="00F87E96"/>
    <w:rsid w:val="00FA23E8"/>
    <w:rsid w:val="00FB3767"/>
    <w:rsid w:val="00FD3CC1"/>
    <w:rsid w:val="00FD6CBF"/>
    <w:rsid w:val="00FF1E02"/>
    <w:rsid w:val="00FF30B4"/>
    <w:rsid w:val="022A7D35"/>
    <w:rsid w:val="04D74871"/>
    <w:rsid w:val="04E1656E"/>
    <w:rsid w:val="0983497E"/>
    <w:rsid w:val="0A2032A3"/>
    <w:rsid w:val="0B8A37D8"/>
    <w:rsid w:val="0CEB4DC7"/>
    <w:rsid w:val="0E082052"/>
    <w:rsid w:val="0EE610EC"/>
    <w:rsid w:val="0F144A26"/>
    <w:rsid w:val="10C055FF"/>
    <w:rsid w:val="10E676B0"/>
    <w:rsid w:val="118107EC"/>
    <w:rsid w:val="11DD06C0"/>
    <w:rsid w:val="11DD6519"/>
    <w:rsid w:val="16BB723D"/>
    <w:rsid w:val="17945BB1"/>
    <w:rsid w:val="18015F3F"/>
    <w:rsid w:val="187325D8"/>
    <w:rsid w:val="191F46F3"/>
    <w:rsid w:val="1A341039"/>
    <w:rsid w:val="1BE8440E"/>
    <w:rsid w:val="1D084BA6"/>
    <w:rsid w:val="1D155CEE"/>
    <w:rsid w:val="1D3574B1"/>
    <w:rsid w:val="1FFE0CDA"/>
    <w:rsid w:val="203C3DDD"/>
    <w:rsid w:val="20F57F95"/>
    <w:rsid w:val="23C54ECD"/>
    <w:rsid w:val="240371BF"/>
    <w:rsid w:val="25C741E6"/>
    <w:rsid w:val="2737685F"/>
    <w:rsid w:val="274D4594"/>
    <w:rsid w:val="27842671"/>
    <w:rsid w:val="29FD04D3"/>
    <w:rsid w:val="2A057045"/>
    <w:rsid w:val="2AB71760"/>
    <w:rsid w:val="2ABE7A3E"/>
    <w:rsid w:val="2BEFDC14"/>
    <w:rsid w:val="2C0F23A5"/>
    <w:rsid w:val="2CF06633"/>
    <w:rsid w:val="2DDD1EA8"/>
    <w:rsid w:val="2E194220"/>
    <w:rsid w:val="2ECA7E7A"/>
    <w:rsid w:val="2EFA178C"/>
    <w:rsid w:val="30B46D73"/>
    <w:rsid w:val="319F7F4E"/>
    <w:rsid w:val="331B0E41"/>
    <w:rsid w:val="336584DD"/>
    <w:rsid w:val="33C70135"/>
    <w:rsid w:val="361C68E9"/>
    <w:rsid w:val="364718DF"/>
    <w:rsid w:val="36A52284"/>
    <w:rsid w:val="377D52DB"/>
    <w:rsid w:val="377F87E3"/>
    <w:rsid w:val="37F9F868"/>
    <w:rsid w:val="39A1121C"/>
    <w:rsid w:val="39AE70AB"/>
    <w:rsid w:val="3C0C0783"/>
    <w:rsid w:val="3E7837E4"/>
    <w:rsid w:val="3F795B0E"/>
    <w:rsid w:val="3F9F3A96"/>
    <w:rsid w:val="40350D30"/>
    <w:rsid w:val="40483282"/>
    <w:rsid w:val="40512AFE"/>
    <w:rsid w:val="41384420"/>
    <w:rsid w:val="47F83AAB"/>
    <w:rsid w:val="493C27E9"/>
    <w:rsid w:val="496F39ED"/>
    <w:rsid w:val="49784C4D"/>
    <w:rsid w:val="49970D05"/>
    <w:rsid w:val="49B94AF1"/>
    <w:rsid w:val="49FF41D3"/>
    <w:rsid w:val="4A185DC8"/>
    <w:rsid w:val="4B814C16"/>
    <w:rsid w:val="4BE068DB"/>
    <w:rsid w:val="4BF6002B"/>
    <w:rsid w:val="4D177397"/>
    <w:rsid w:val="4D8114AA"/>
    <w:rsid w:val="4E6B3EF1"/>
    <w:rsid w:val="4ECE2238"/>
    <w:rsid w:val="4EDA3D72"/>
    <w:rsid w:val="4FF7AE9D"/>
    <w:rsid w:val="4FFCAEA2"/>
    <w:rsid w:val="51305803"/>
    <w:rsid w:val="51DB4B86"/>
    <w:rsid w:val="51DC2370"/>
    <w:rsid w:val="53DA514A"/>
    <w:rsid w:val="5445326C"/>
    <w:rsid w:val="54AA6B53"/>
    <w:rsid w:val="54F20023"/>
    <w:rsid w:val="55333C3E"/>
    <w:rsid w:val="55B00076"/>
    <w:rsid w:val="560B262F"/>
    <w:rsid w:val="57C57C38"/>
    <w:rsid w:val="57CF293B"/>
    <w:rsid w:val="582708F3"/>
    <w:rsid w:val="5A6C6A91"/>
    <w:rsid w:val="5BB36019"/>
    <w:rsid w:val="5C396788"/>
    <w:rsid w:val="5C835883"/>
    <w:rsid w:val="5F495556"/>
    <w:rsid w:val="5F7616E6"/>
    <w:rsid w:val="5FAD6EB4"/>
    <w:rsid w:val="61C13B66"/>
    <w:rsid w:val="6350325A"/>
    <w:rsid w:val="638C624C"/>
    <w:rsid w:val="63903938"/>
    <w:rsid w:val="63C24D92"/>
    <w:rsid w:val="648D254B"/>
    <w:rsid w:val="64CA39A1"/>
    <w:rsid w:val="64DF5B24"/>
    <w:rsid w:val="65917D48"/>
    <w:rsid w:val="68357326"/>
    <w:rsid w:val="69015DFE"/>
    <w:rsid w:val="6A5E356A"/>
    <w:rsid w:val="6A6877E9"/>
    <w:rsid w:val="6ABE69EA"/>
    <w:rsid w:val="6AFF12D8"/>
    <w:rsid w:val="6C1E37D6"/>
    <w:rsid w:val="6C3D6E92"/>
    <w:rsid w:val="6C4A05C8"/>
    <w:rsid w:val="6D9E12BB"/>
    <w:rsid w:val="6E6F2BFE"/>
    <w:rsid w:val="6F39D7D9"/>
    <w:rsid w:val="705666CD"/>
    <w:rsid w:val="70AF0685"/>
    <w:rsid w:val="70E44FFC"/>
    <w:rsid w:val="72734D90"/>
    <w:rsid w:val="73C630FE"/>
    <w:rsid w:val="742D67C7"/>
    <w:rsid w:val="74707612"/>
    <w:rsid w:val="74AB35A0"/>
    <w:rsid w:val="756A4739"/>
    <w:rsid w:val="758A3D23"/>
    <w:rsid w:val="75A62616"/>
    <w:rsid w:val="776FFB55"/>
    <w:rsid w:val="796E7CD8"/>
    <w:rsid w:val="79E7B28D"/>
    <w:rsid w:val="7C775BAB"/>
    <w:rsid w:val="7CAD47C1"/>
    <w:rsid w:val="7D7F24B4"/>
    <w:rsid w:val="7E3C6257"/>
    <w:rsid w:val="7E636915"/>
    <w:rsid w:val="7E7B56DF"/>
    <w:rsid w:val="7EFFA2C0"/>
    <w:rsid w:val="7F1A72ED"/>
    <w:rsid w:val="7F870140"/>
    <w:rsid w:val="7F9F20EE"/>
    <w:rsid w:val="7FDDAE3F"/>
    <w:rsid w:val="7FF5CC11"/>
    <w:rsid w:val="9BFF71E4"/>
    <w:rsid w:val="9E3A10E2"/>
    <w:rsid w:val="ADE26A06"/>
    <w:rsid w:val="B6F72E82"/>
    <w:rsid w:val="BCEF6DAA"/>
    <w:rsid w:val="D7C3D55C"/>
    <w:rsid w:val="D7E84747"/>
    <w:rsid w:val="DC42EF5C"/>
    <w:rsid w:val="DDD71E14"/>
    <w:rsid w:val="EBA94E24"/>
    <w:rsid w:val="EEE7855A"/>
    <w:rsid w:val="EEFD0E9E"/>
    <w:rsid w:val="F2E1F9D4"/>
    <w:rsid w:val="F7880819"/>
    <w:rsid w:val="FFF75C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99"/>
    <w:pPr>
      <w:ind w:left="2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2"/>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一级标题"/>
    <w:basedOn w:val="1"/>
    <w:link w:val="33"/>
    <w:qFormat/>
    <w:uiPriority w:val="0"/>
    <w:pPr>
      <w:spacing w:line="700" w:lineRule="exact"/>
      <w:jc w:val="center"/>
    </w:pPr>
    <w:rPr>
      <w:rFonts w:hint="eastAsia" w:ascii="方正小标宋简体" w:hAnsi="方正小标宋简体" w:eastAsia="方正小标宋简体" w:cs="方正小标宋简体"/>
      <w:sz w:val="44"/>
      <w:szCs w:val="44"/>
    </w:rPr>
  </w:style>
  <w:style w:type="character" w:customStyle="1" w:styleId="33">
    <w:name w:val="一级标题 Char"/>
    <w:link w:val="32"/>
    <w:qFormat/>
    <w:uiPriority w:val="0"/>
    <w:rPr>
      <w:rFonts w:hint="eastAsia"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image" Target="media/image1.png"/><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solidFill>
                  <a:sysClr val="windowText" lastClr="000000"/>
                </a:solidFill>
                <a:latin typeface="仿宋_GB2312" panose="02010609030101010101" pitchFamily="3" charset="-122"/>
                <a:ea typeface="仿宋_GB2312" panose="02010609030101010101" pitchFamily="3" charset="-122"/>
              </a:rPr>
              <a:t>收支决算总计变动情况图</a:t>
            </a:r>
            <a:endParaRPr lang="zh-CN" altLang="en-US">
              <a:solidFill>
                <a:sysClr val="windowText" lastClr="000000"/>
              </a:solidFill>
              <a:latin typeface="仿宋_GB2312" panose="02010609030101010101" pitchFamily="3" charset="-122"/>
              <a:ea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numCache>
            </c:numRef>
          </c:val>
        </c:ser>
        <c:ser>
          <c:idx val="1"/>
          <c:order val="1"/>
          <c:tx>
            <c:strRef>
              <c:f>Sheet1!$C$1</c:f>
              <c:strCache>
                <c:ptCount val="1"/>
                <c:pt idx="0">
                  <c:v>系列 2</c:v>
                </c:pt>
              </c:strCache>
            </c:strRef>
          </c:tx>
          <c:spPr>
            <a:solidFill>
              <a:srgbClr val="1552D1"/>
            </a:solidFill>
            <a:ln>
              <a:noFill/>
            </a:ln>
            <a:effectLst/>
          </c:spPr>
          <c:invertIfNegative val="0"/>
          <c:dPt>
            <c:idx val="0"/>
            <c:invertIfNegative val="0"/>
            <c:bubble3D val="0"/>
            <c:spPr>
              <a:solidFill>
                <a:schemeClr val="accent1"/>
              </a:solidFill>
              <a:ln>
                <a:noFill/>
              </a:ln>
              <a:effectLst/>
            </c:spPr>
          </c:dPt>
          <c:dPt>
            <c:idx val="1"/>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0.00_ </c:formatCode>
                <c:ptCount val="2"/>
                <c:pt idx="0">
                  <c:v>0</c:v>
                </c:pt>
                <c:pt idx="1" c:formatCode="General">
                  <c:v>200.72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Sheet1!$D$2:$D$3</c:f>
              <c:numCache>
                <c:formatCode>General</c:formatCode>
                <c:ptCount val="2"/>
              </c:numCache>
            </c:numRef>
          </c:val>
        </c:ser>
        <c:dLbls>
          <c:showLegendKey val="0"/>
          <c:showVal val="0"/>
          <c:showCatName val="0"/>
          <c:showSerName val="0"/>
          <c:showPercent val="0"/>
          <c:showBubbleSize val="0"/>
        </c:dLbls>
        <c:gapWidth val="150"/>
        <c:axId val="236831149"/>
        <c:axId val="295395398"/>
      </c:barChart>
      <c:catAx>
        <c:axId val="23683114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395398"/>
        <c:crosses val="autoZero"/>
        <c:auto val="1"/>
        <c:lblAlgn val="ctr"/>
        <c:lblOffset val="100"/>
        <c:noMultiLvlLbl val="0"/>
      </c:catAx>
      <c:valAx>
        <c:axId val="2953953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83114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solidFill>
                  <a:sysClr val="windowText" lastClr="000000"/>
                </a:solidFill>
                <a:ea typeface="仿宋_GB2312" panose="02010609030101010101" pitchFamily="3" charset="-122"/>
              </a:rPr>
              <a:t>支出决算结构图</a:t>
            </a:r>
            <a:endParaRPr lang="zh-CN" altLang="en-US">
              <a:solidFill>
                <a:sysClr val="windowText" lastClr="000000"/>
              </a:solidFill>
              <a:ea typeface="仿宋_GB2312" panose="02010609030101010101" pitchFamily="3" charset="-122"/>
            </a:endParaRPr>
          </a:p>
        </c:rich>
      </c:tx>
      <c:layout>
        <c:manualLayout>
          <c:xMode val="edge"/>
          <c:yMode val="edge"/>
          <c:x val="0.37736212880833"/>
          <c:y val="0.0303971599733747"/>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18743207358191"/>
                  <c:y val="-0.03898192674329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1638030311772"/>
                  <c:y val="0.0121826401858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0.00_ </c:formatCode>
                <c:ptCount val="2"/>
                <c:pt idx="0">
                  <c:v>192.42</c:v>
                </c:pt>
                <c:pt idx="1">
                  <c:v>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latin typeface="仿宋_GB2312" panose="02010609030101010101" pitchFamily="3" charset="-122"/>
              </a:rPr>
              <a:t>财政拨款收、支决算总计变动情况</a:t>
            </a:r>
            <a:endParaRPr lang="zh-CN" altLang="en-US" b="0">
              <a:latin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numCache>
            </c:numRef>
          </c:val>
        </c:ser>
        <c:ser>
          <c:idx val="1"/>
          <c:order val="1"/>
          <c:tx>
            <c:strRef>
              <c:f>Sheet1!$C$1</c:f>
              <c:strCache>
                <c:ptCount val="1"/>
                <c:pt idx="0">
                  <c:v>系列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0.00_ </c:formatCode>
                <c:ptCount val="2"/>
                <c:pt idx="0">
                  <c:v>0</c:v>
                </c:pt>
                <c:pt idx="1" c:formatCode="General">
                  <c:v>200.72</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Sheet1!$D$2:$D$3</c:f>
              <c:numCache>
                <c:formatCode>General</c:formatCode>
                <c:ptCount val="2"/>
              </c:numCache>
            </c:numRef>
          </c:val>
        </c:ser>
        <c:dLbls>
          <c:showLegendKey val="0"/>
          <c:showVal val="0"/>
          <c:showCatName val="0"/>
          <c:showSerName val="0"/>
          <c:showPercent val="0"/>
          <c:showBubbleSize val="0"/>
        </c:dLbls>
        <c:gapWidth val="219"/>
        <c:overlap val="-27"/>
        <c:axId val="863721424"/>
        <c:axId val="863716176"/>
      </c:barChart>
      <c:catAx>
        <c:axId val="86372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716176"/>
        <c:crosses val="autoZero"/>
        <c:auto val="1"/>
        <c:lblAlgn val="ctr"/>
        <c:lblOffset val="100"/>
        <c:noMultiLvlLbl val="0"/>
      </c:catAx>
      <c:valAx>
        <c:axId val="86371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721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latin typeface="仿宋仿宋_GB2312"/>
              </a:rPr>
              <a:t>一般公共预算财政拨款支出决算变动情况</a:t>
            </a:r>
            <a:endParaRPr lang="zh-CN" altLang="en-US">
              <a:latin typeface="仿宋仿宋_GB231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numCache>
            </c:numRef>
          </c:val>
        </c:ser>
        <c:ser>
          <c:idx val="1"/>
          <c:order val="1"/>
          <c:tx>
            <c:strRef>
              <c:f>Sheet1!$C$1</c:f>
              <c:strCache>
                <c:ptCount val="1"/>
                <c:pt idx="0">
                  <c:v>系列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0.00_ </c:formatCode>
                <c:ptCount val="2"/>
                <c:pt idx="0">
                  <c:v>0</c:v>
                </c:pt>
                <c:pt idx="1" c:formatCode="General">
                  <c:v>200.72</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Sheet1!$D$2:$D$3</c:f>
              <c:numCache>
                <c:formatCode>General</c:formatCode>
                <c:ptCount val="2"/>
              </c:numCache>
            </c:numRef>
          </c:val>
        </c:ser>
        <c:dLbls>
          <c:showLegendKey val="0"/>
          <c:showVal val="0"/>
          <c:showCatName val="0"/>
          <c:showSerName val="0"/>
          <c:showPercent val="0"/>
          <c:showBubbleSize val="0"/>
        </c:dLbls>
        <c:gapWidth val="219"/>
        <c:overlap val="-27"/>
        <c:axId val="1000923560"/>
        <c:axId val="1000921592"/>
      </c:barChart>
      <c:catAx>
        <c:axId val="100092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0921592"/>
        <c:crosses val="autoZero"/>
        <c:auto val="1"/>
        <c:lblAlgn val="ctr"/>
        <c:lblOffset val="100"/>
        <c:noMultiLvlLbl val="0"/>
      </c:catAx>
      <c:valAx>
        <c:axId val="100092159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0923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208715201583409"/>
                  <c:y val="-0.0137647972574857"/>
                </c:manualLayout>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94779015141736"/>
                  <c:y val="0.00932193743639192"/>
                </c:manualLayout>
              </c:layout>
              <c:tx>
                <c:rich>
                  <a:bodyPr rot="0" spcFirstLastPara="1" vertOverflow="ellipsis" vert="horz" wrap="square" lIns="38100" tIns="19050" rIns="38100" bIns="19050" anchor="ctr" anchorCtr="1">
                    <a:spAutoFit/>
                  </a:bodyPr>
                  <a:lstStyle/>
                  <a:p>
                    <a:pPr defTabSz="914400">
                      <a:defRPr lang="zh-CN" sz="900" b="0" i="0" u="none" strike="noStrike" kern="120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en-US" altLang="zh-CN">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6.445</a:t>
                    </a:r>
                    <a:endParaRPr lang="en-US" altLang="zh-CN">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0905365126676602"/>
                      <c:h val="0.0863095238095238"/>
                    </c:manualLayout>
                  </c15:layout>
                </c:ext>
              </c:extLst>
            </c:dLbl>
            <c:dLbl>
              <c:idx val="2"/>
              <c:layout>
                <c:manualLayout>
                  <c:x val="0.0367400283980897"/>
                  <c:y val="-0.270065683753817"/>
                </c:manualLayout>
              </c:layout>
              <c:tx>
                <c:rich>
                  <a:bodyPr rot="0" spcFirstLastPara="1" vertOverflow="ellipsis" vert="horz" wrap="square" lIns="38100" tIns="19050" rIns="38100" bIns="19050" anchor="ctr" anchorCtr="1">
                    <a:noAutofit/>
                  </a:bodyPr>
                  <a:lstStyle/>
                  <a:p>
                    <a:fld id="{a04c1fae-3bc1-46a0-b37c-3e9b22f22f68}" type="VALUE">
                      <a:t>[VALUE]</a:t>
                    </a:fld>
                    <a:endParaRPr b="0" i="0" u="none" strike="noStrike" baseline="0">
                      <a:latin typeface="Times New Roman" panose="02020603050405020304" charset="0"/>
                      <a:ea typeface="Times New Roman" panose="02020603050405020304" charset="0"/>
                      <a:cs typeface="+mn-ea"/>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69076005961252"/>
                      <c:h val="0.204018024532648"/>
                    </c:manualLayout>
                  </c15:layout>
                </c:ext>
              </c:extLst>
            </c:dLbl>
            <c:dLbl>
              <c:idx val="3"/>
              <c:layout>
                <c:manualLayout>
                  <c:x val="-0.0287262713621304"/>
                  <c:y val="0.0174714767796882"/>
                </c:manualLayout>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社会保障和就业（类）</c:v>
                </c:pt>
                <c:pt idx="1">
                  <c:v>卫生健康支出</c:v>
                </c:pt>
                <c:pt idx="2">
                  <c:v>城乡社区支出</c:v>
                </c:pt>
                <c:pt idx="3">
                  <c:v>住房保障支出</c:v>
                </c:pt>
              </c:strCache>
            </c:strRef>
          </c:cat>
          <c:val>
            <c:numRef>
              <c:f>Sheet1!$B$2:$B$5</c:f>
              <c:numCache>
                <c:formatCode>General</c:formatCode>
                <c:ptCount val="4"/>
                <c:pt idx="0">
                  <c:v>13.273</c:v>
                </c:pt>
                <c:pt idx="1">
                  <c:v>6.445</c:v>
                </c:pt>
                <c:pt idx="2">
                  <c:v>162.469</c:v>
                </c:pt>
                <c:pt idx="3">
                  <c:v>18.532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0.8055</cdr:x>
      <cdr:y>0.0345</cdr:y>
    </cdr:from>
    <cdr:to>
      <cdr:x>0.9835</cdr:x>
      <cdr:y>0.112</cdr:y>
    </cdr:to>
    <cdr:sp>
      <cdr:nvSpPr>
        <cdr:cNvPr id="2" name="矩形 1"/>
        <cdr:cNvSpPr/>
      </cdr:nvSpPr>
      <cdr:spPr xmlns:a="http://schemas.openxmlformats.org/drawingml/2006/main">
        <a:xfrm xmlns:a="http://schemas.openxmlformats.org/drawingml/2006/main">
          <a:off x="4091940" y="131445"/>
          <a:ext cx="904240" cy="295275"/>
        </a:xfrm>
        <a:prstGeom xmlns:a="http://schemas.openxmlformats.org/drawingml/2006/main" prst="rect">
          <a:avLst/>
        </a:prstGeom>
        <a:noFill/>
        <a:ln w="6350">
          <a:noFill/>
        </a:l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xmlns:a="http://schemas.openxmlformats.org/drawingml/2006/main">
        <a:bodyPr rot="0" spcFirstLastPara="0" vert="horz" wrap="square" lIns="91440" tIns="45720" rIns="91440" bIns="45720" numCol="1" spcCol="0" rtlCol="0" fromWordArt="0" anchor="t" anchorCtr="0" forceAA="0" compatLnSpc="1">
          <a:noAutofit/>
        </a:bodyPr>
        <a:lstStyle/>
        <a:p>
          <a:pPr algn="just">
            <a:spcAft>
              <a:spcPts val="0"/>
            </a:spcAft>
          </a:pPr>
          <a:r>
            <a:rPr lang="zh-CN" sz="1050" kern="100">
              <a:effectLst/>
              <a:latin typeface="Times New Roman" panose="02020603050405020304" charset="0"/>
              <a:ea typeface="宋体" panose="02010600030101010101" charset="-122"/>
            </a:rPr>
            <a:t>单位：万元</a:t>
          </a:r>
          <a:endParaRPr lang="zh-CN" sz="1050" kern="100">
            <a:effectLst/>
            <a:latin typeface="Times New Roman" panose="02020603050405020304" charset="0"/>
            <a:ea typeface="宋体" panose="02010600030101010101"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0.80825</cdr:x>
      <cdr:y>0.09843</cdr:y>
    </cdr:from>
    <cdr:to>
      <cdr:x>0.9851</cdr:x>
      <cdr:y>0.19728</cdr:y>
    </cdr:to>
    <cdr:sp>
      <cdr:nvSpPr>
        <cdr:cNvPr id="2" name="矩形 1"/>
        <cdr:cNvSpPr/>
      </cdr:nvSpPr>
      <cdr:spPr xmlns:a="http://schemas.openxmlformats.org/drawingml/2006/main">
        <a:xfrm xmlns:a="http://schemas.openxmlformats.org/drawingml/2006/main">
          <a:off x="4132580" y="294005"/>
          <a:ext cx="904240" cy="295275"/>
        </a:xfrm>
        <a:prstGeom xmlns:a="http://schemas.openxmlformats.org/drawingml/2006/main" prst="rect">
          <a:avLst/>
        </a:prstGeom>
        <a:noFill/>
        <a:ln w="6350">
          <a:noFill/>
        </a:l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xmlns:a="http://schemas.openxmlformats.org/drawingml/2006/main">
        <a:bodyPr rot="0" spcFirstLastPara="0" vert="horz" wrap="square" lIns="91440" tIns="45720" rIns="91440" bIns="45720" numCol="1" spcCol="0" rtlCol="0" fromWordArt="0" anchor="t" anchorCtr="0" forceAA="0" compatLnSpc="1">
          <a:noAutofit/>
        </a:bodyPr>
        <a:lstStyle/>
        <a:p>
          <a:pPr algn="just">
            <a:spcAft>
              <a:spcPts val="0"/>
            </a:spcAft>
          </a:pPr>
          <a:r>
            <a:rPr lang="zh-CN" sz="1050" kern="100">
              <a:solidFill>
                <a:srgbClr val="000000"/>
              </a:solidFill>
              <a:effectLst/>
              <a:latin typeface="Times New Roman" panose="02020603050405020304" charset="0"/>
              <a:ea typeface="宋体" panose="02010600030101010101" charset="-122"/>
              <a:cs typeface="Times New Roman" panose="02020603050405020304" charset="0"/>
            </a:rPr>
            <a:t>单位：万元</a:t>
          </a:r>
          <a:endParaRPr lang="zh-CN" sz="1200">
            <a:effectLst/>
            <a:latin typeface="宋体" panose="02010600030101010101" charset="-122"/>
            <a:ea typeface="宋体" panose="02010600030101010101" charset="-122"/>
            <a:cs typeface="宋体" panose="02010600030101010101" charset="-122"/>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Pages>
  <Words>6037</Words>
  <Characters>6546</Characters>
  <Lines>1</Lines>
  <Paragraphs>1</Paragraphs>
  <TotalTime>7</TotalTime>
  <ScaleCrop>false</ScaleCrop>
  <LinksUpToDate>false</LinksUpToDate>
  <CharactersWithSpaces>6594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企业用户_201214966</cp:lastModifiedBy>
  <cp:lastPrinted>2023-09-19T09:37:00Z</cp:lastPrinted>
  <dcterms:modified xsi:type="dcterms:W3CDTF">2023-10-17T02:48:04Z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18C4299B72334D3095585539B3212D20</vt:lpwstr>
  </property>
</Properties>
</file>