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16" w:rsidRDefault="00715E00">
      <w:pPr>
        <w:tabs>
          <w:tab w:val="left" w:pos="1080"/>
        </w:tabs>
        <w:jc w:val="left"/>
        <w:rPr>
          <w:rFonts w:ascii="仿宋_GB2312" w:eastAsia="仿宋_GB2312" w:hAnsi="宋体"/>
          <w:color w:val="000000"/>
          <w:spacing w:val="-8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hint="eastAsia"/>
          <w:color w:val="000000"/>
          <w:spacing w:val="-8"/>
          <w:sz w:val="30"/>
          <w:szCs w:val="30"/>
        </w:rPr>
        <w:t>附件</w:t>
      </w:r>
      <w:r>
        <w:rPr>
          <w:rFonts w:ascii="仿宋_GB2312" w:eastAsia="仿宋_GB2312" w:hAnsi="宋体" w:hint="eastAsia"/>
          <w:color w:val="000000"/>
          <w:spacing w:val="-8"/>
          <w:sz w:val="30"/>
          <w:szCs w:val="30"/>
        </w:rPr>
        <w:t>2</w:t>
      </w:r>
      <w:r>
        <w:rPr>
          <w:rFonts w:ascii="仿宋_GB2312" w:eastAsia="仿宋_GB2312" w:hAnsi="宋体" w:hint="eastAsia"/>
          <w:color w:val="000000"/>
          <w:spacing w:val="-8"/>
          <w:sz w:val="30"/>
          <w:szCs w:val="30"/>
        </w:rPr>
        <w:t>：</w:t>
      </w:r>
    </w:p>
    <w:p w:rsidR="005E6016" w:rsidRDefault="00715E00">
      <w:pPr>
        <w:pStyle w:val="a6"/>
        <w:widowControl w:val="0"/>
        <w:spacing w:before="0" w:beforeAutospacing="0" w:after="0" w:afterAutospacing="0" w:line="600" w:lineRule="exact"/>
        <w:jc w:val="center"/>
        <w:rPr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填报要求及注意事项</w:t>
      </w:r>
    </w:p>
    <w:p w:rsidR="005E6016" w:rsidRDefault="005E6016">
      <w:pPr>
        <w:pStyle w:val="a6"/>
        <w:widowControl w:val="0"/>
        <w:spacing w:before="0" w:beforeAutospacing="0" w:after="0" w:afterAutospacing="0"/>
        <w:jc w:val="center"/>
        <w:rPr>
          <w:rFonts w:ascii="黑体" w:eastAsia="黑体" w:hAnsi="黑体" w:cs="黑体"/>
          <w:color w:val="000000"/>
          <w:sz w:val="30"/>
          <w:szCs w:val="30"/>
        </w:rPr>
      </w:pPr>
    </w:p>
    <w:p w:rsidR="005E6016" w:rsidRDefault="00715E00">
      <w:pPr>
        <w:pStyle w:val="a6"/>
        <w:widowControl w:val="0"/>
        <w:spacing w:before="0" w:beforeAutospacing="0" w:after="0" w:afterAutospacing="0" w:line="540" w:lineRule="exact"/>
        <w:ind w:firstLineChars="200" w:firstLine="584"/>
        <w:jc w:val="both"/>
        <w:rPr>
          <w:rFonts w:ascii="仿宋" w:eastAsia="仿宋" w:hAnsi="仿宋"/>
          <w:color w:val="000000"/>
          <w:spacing w:val="-4"/>
          <w:sz w:val="30"/>
          <w:szCs w:val="30"/>
        </w:rPr>
      </w:pPr>
      <w:r>
        <w:rPr>
          <w:rFonts w:ascii="仿宋" w:eastAsia="仿宋" w:hAnsi="仿宋" w:hint="eastAsia"/>
          <w:color w:val="000000"/>
          <w:spacing w:val="-4"/>
          <w:sz w:val="30"/>
          <w:szCs w:val="30"/>
        </w:rPr>
        <w:t>按照《工程造价咨询统计调查制度》（</w:t>
      </w:r>
      <w:r>
        <w:rPr>
          <w:rFonts w:ascii="仿宋" w:eastAsia="仿宋" w:hAnsi="仿宋" w:hint="eastAsia"/>
          <w:color w:val="000000"/>
          <w:spacing w:val="-4"/>
          <w:sz w:val="30"/>
          <w:szCs w:val="30"/>
        </w:rPr>
        <w:t>2019</w:t>
      </w:r>
      <w:r>
        <w:rPr>
          <w:rFonts w:ascii="仿宋" w:eastAsia="仿宋" w:hAnsi="仿宋" w:hint="eastAsia"/>
          <w:color w:val="000000"/>
          <w:spacing w:val="-4"/>
          <w:sz w:val="30"/>
          <w:szCs w:val="30"/>
        </w:rPr>
        <w:t>版）要求，各造价咨询企业在填报以及市州建设行政主管部门审核报表时，要认真阅读理解《四、指标解释》，特别注意每张</w:t>
      </w:r>
      <w:r>
        <w:rPr>
          <w:rFonts w:ascii="仿宋" w:eastAsia="仿宋" w:hAnsi="仿宋" w:hint="eastAsia"/>
          <w:color w:val="FF0000"/>
          <w:spacing w:val="-4"/>
          <w:sz w:val="30"/>
          <w:szCs w:val="30"/>
        </w:rPr>
        <w:t>表格</w:t>
      </w:r>
      <w:r>
        <w:rPr>
          <w:rFonts w:ascii="仿宋" w:eastAsia="仿宋" w:hAnsi="仿宋" w:hint="eastAsia"/>
          <w:color w:val="000000"/>
          <w:spacing w:val="-4"/>
          <w:sz w:val="30"/>
          <w:szCs w:val="30"/>
        </w:rPr>
        <w:t>的“填报说明”以及数据之间的逻辑关系，以保证报表的质量。注意事项如下：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600"/>
        <w:outlineLvl w:val="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一、（一）工程造价咨询企业基本情况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1</w:t>
      </w:r>
      <w:r>
        <w:rPr>
          <w:rFonts w:ascii="仿宋" w:eastAsia="仿宋" w:hAnsi="仿宋" w:hint="eastAsia"/>
          <w:color w:val="000000"/>
          <w:sz w:val="30"/>
          <w:szCs w:val="30"/>
        </w:rPr>
        <w:t>、第</w:t>
      </w:r>
      <w:r>
        <w:rPr>
          <w:rFonts w:ascii="仿宋" w:eastAsia="仿宋" w:hAnsi="仿宋" w:hint="eastAsia"/>
          <w:color w:val="000000"/>
          <w:sz w:val="30"/>
          <w:szCs w:val="30"/>
        </w:rPr>
        <w:t>11</w:t>
      </w:r>
      <w:r>
        <w:rPr>
          <w:rFonts w:ascii="仿宋" w:eastAsia="仿宋" w:hAnsi="仿宋" w:hint="eastAsia"/>
          <w:color w:val="000000"/>
          <w:sz w:val="30"/>
          <w:szCs w:val="30"/>
        </w:rPr>
        <w:t>项“工程造价咨询企业资质证书编号”。在</w:t>
      </w:r>
      <w:r>
        <w:rPr>
          <w:rFonts w:ascii="仿宋" w:eastAsia="仿宋" w:hAnsi="仿宋" w:hint="eastAsia"/>
          <w:color w:val="000000"/>
          <w:sz w:val="30"/>
          <w:szCs w:val="30"/>
        </w:rPr>
        <w:t>2019</w:t>
      </w:r>
      <w:r>
        <w:rPr>
          <w:rFonts w:ascii="仿宋" w:eastAsia="仿宋" w:hAnsi="仿宋" w:hint="eastAsia"/>
          <w:color w:val="000000"/>
          <w:sz w:val="30"/>
          <w:szCs w:val="30"/>
        </w:rPr>
        <w:t>年度进行了资质延续的企业，须填写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新编的资质证书编号</w:t>
      </w:r>
      <w:r>
        <w:rPr>
          <w:rFonts w:ascii="仿宋" w:eastAsia="仿宋" w:hAnsi="仿宋" w:hint="eastAsia"/>
          <w:color w:val="000000"/>
          <w:sz w:val="30"/>
          <w:szCs w:val="30"/>
        </w:rPr>
        <w:t>；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568"/>
        <w:rPr>
          <w:rFonts w:ascii="仿宋" w:eastAsia="仿宋" w:hAnsi="仿宋" w:cs="仿宋"/>
          <w:color w:val="000000"/>
          <w:spacing w:val="-8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、第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13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项“工程造价咨询企业资质证书有效届满日期”。须填写</w:t>
      </w:r>
      <w:r>
        <w:rPr>
          <w:rFonts w:ascii="仿宋" w:eastAsia="仿宋" w:hAnsi="仿宋" w:cs="仿宋" w:hint="eastAsia"/>
          <w:b/>
          <w:color w:val="000000"/>
          <w:spacing w:val="-8"/>
          <w:sz w:val="30"/>
          <w:szCs w:val="30"/>
        </w:rPr>
        <w:t>最新的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资质证书上的有效届满日期；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568"/>
        <w:rPr>
          <w:rFonts w:ascii="仿宋" w:eastAsia="仿宋" w:hAnsi="仿宋" w:cs="仿宋"/>
          <w:color w:val="000000"/>
          <w:spacing w:val="-8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、第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18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项“企业首次取得工程造价咨询企业资质的时间”。须填写</w:t>
      </w:r>
      <w:r>
        <w:rPr>
          <w:rFonts w:ascii="仿宋" w:eastAsia="仿宋" w:hAnsi="仿宋" w:cs="仿宋" w:hint="eastAsia"/>
          <w:b/>
          <w:color w:val="000000"/>
          <w:spacing w:val="-8"/>
          <w:sz w:val="30"/>
          <w:szCs w:val="30"/>
        </w:rPr>
        <w:t>当前所</w:t>
      </w:r>
      <w:r>
        <w:rPr>
          <w:rFonts w:ascii="仿宋" w:eastAsia="仿宋" w:hAnsi="仿宋" w:cs="仿宋" w:hint="eastAsia"/>
          <w:b/>
          <w:color w:val="FF0000"/>
          <w:spacing w:val="-8"/>
          <w:sz w:val="30"/>
          <w:szCs w:val="30"/>
        </w:rPr>
        <w:t>持有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造价咨询企业资质的</w:t>
      </w:r>
      <w:r>
        <w:rPr>
          <w:rFonts w:ascii="仿宋" w:eastAsia="仿宋" w:hAnsi="仿宋" w:cs="仿宋" w:hint="eastAsia"/>
          <w:b/>
          <w:color w:val="FF0000"/>
          <w:spacing w:val="-8"/>
          <w:sz w:val="30"/>
          <w:szCs w:val="30"/>
        </w:rPr>
        <w:t>初始</w:t>
      </w:r>
      <w:r>
        <w:rPr>
          <w:rFonts w:ascii="仿宋" w:eastAsia="仿宋" w:hAnsi="仿宋" w:cs="仿宋" w:hint="eastAsia"/>
          <w:b/>
          <w:color w:val="000000"/>
          <w:spacing w:val="-8"/>
          <w:sz w:val="30"/>
          <w:szCs w:val="30"/>
        </w:rPr>
        <w:t>时间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。如甲级企业，须填写首次取得甲级资质的时间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,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乙级（含暂定乙级）类推。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568"/>
        <w:outlineLvl w:val="0"/>
        <w:rPr>
          <w:rFonts w:ascii="黑体" w:eastAsia="黑体" w:hAnsi="黑体" w:cs="仿宋"/>
          <w:color w:val="000000"/>
          <w:spacing w:val="-8"/>
          <w:sz w:val="30"/>
          <w:szCs w:val="30"/>
        </w:rPr>
      </w:pPr>
      <w:r>
        <w:rPr>
          <w:rFonts w:ascii="黑体" w:eastAsia="黑体" w:hAnsi="黑体" w:cs="仿宋" w:hint="eastAsia"/>
          <w:color w:val="000000"/>
          <w:spacing w:val="-8"/>
          <w:sz w:val="30"/>
          <w:szCs w:val="30"/>
        </w:rPr>
        <w:t>二、（二）工程造价咨询企业人员情况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568"/>
        <w:rPr>
          <w:rFonts w:ascii="仿宋" w:eastAsia="仿宋" w:hAnsi="仿宋" w:cs="仿宋"/>
          <w:color w:val="000000"/>
          <w:spacing w:val="-8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表中人员数量的逻辑关系如下：“本表说明：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、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审核关系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：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19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=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20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＋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21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；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22=23+24+25+26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；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27=28+29+30+31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；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逻辑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关系：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19=20+21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≥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22+23+</w:t>
      </w:r>
      <w:r>
        <w:rPr>
          <w:rFonts w:ascii="仿宋" w:eastAsia="仿宋" w:hAnsi="仿宋" w:cs="仿宋"/>
          <w:color w:val="000000"/>
          <w:spacing w:val="-8"/>
          <w:sz w:val="30"/>
          <w:szCs w:val="30"/>
        </w:rPr>
        <w:t>…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+32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”。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568"/>
        <w:outlineLvl w:val="0"/>
        <w:rPr>
          <w:rFonts w:ascii="黑体" w:eastAsia="黑体" w:hAnsi="黑体" w:cs="仿宋"/>
          <w:color w:val="000000"/>
          <w:spacing w:val="-8"/>
          <w:sz w:val="30"/>
          <w:szCs w:val="30"/>
        </w:rPr>
      </w:pPr>
      <w:r>
        <w:rPr>
          <w:rFonts w:ascii="黑体" w:eastAsia="黑体" w:hAnsi="黑体" w:cs="仿宋" w:hint="eastAsia"/>
          <w:color w:val="000000"/>
          <w:spacing w:val="-8"/>
          <w:sz w:val="30"/>
          <w:szCs w:val="30"/>
        </w:rPr>
        <w:t>三、（三）工程造价咨询企业业务状况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568"/>
        <w:rPr>
          <w:rFonts w:ascii="仿宋" w:eastAsia="仿宋" w:hAnsi="仿宋" w:cs="仿宋"/>
          <w:color w:val="000000"/>
          <w:spacing w:val="-8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表中“四、完成的工程造价咨询项目所涉及的工程造价总额”（代码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76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）。须填写企业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2019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年度完成的各造价咨询</w:t>
      </w:r>
      <w:r>
        <w:rPr>
          <w:rFonts w:ascii="仿宋" w:eastAsia="仿宋" w:hAnsi="仿宋" w:cs="仿宋" w:hint="eastAsia"/>
          <w:b/>
          <w:color w:val="000000"/>
          <w:spacing w:val="-8"/>
          <w:sz w:val="30"/>
          <w:szCs w:val="30"/>
        </w:rPr>
        <w:t>项目</w:t>
      </w:r>
      <w:r>
        <w:rPr>
          <w:rFonts w:ascii="仿宋" w:eastAsia="仿宋" w:hAnsi="仿宋" w:cs="仿宋" w:hint="eastAsia"/>
          <w:b/>
          <w:color w:val="FF0000"/>
          <w:spacing w:val="-8"/>
          <w:sz w:val="30"/>
          <w:szCs w:val="30"/>
        </w:rPr>
        <w:t>所涉及</w:t>
      </w:r>
      <w:r>
        <w:rPr>
          <w:rFonts w:ascii="仿宋" w:eastAsia="仿宋" w:hAnsi="仿宋" w:cs="仿宋" w:hint="eastAsia"/>
          <w:b/>
          <w:color w:val="000000"/>
          <w:spacing w:val="-8"/>
          <w:sz w:val="30"/>
          <w:szCs w:val="30"/>
        </w:rPr>
        <w:t>的</w:t>
      </w:r>
      <w:r>
        <w:rPr>
          <w:rFonts w:ascii="仿宋" w:eastAsia="仿宋" w:hAnsi="仿宋" w:cs="仿宋" w:hint="eastAsia"/>
          <w:b/>
          <w:bCs/>
          <w:color w:val="000000"/>
          <w:spacing w:val="-8"/>
          <w:sz w:val="30"/>
          <w:szCs w:val="30"/>
        </w:rPr>
        <w:t>工程造价总</w:t>
      </w:r>
      <w:r>
        <w:rPr>
          <w:rFonts w:ascii="仿宋" w:eastAsia="仿宋" w:hAnsi="仿宋" w:cs="仿宋" w:hint="eastAsia"/>
          <w:b/>
          <w:bCs/>
          <w:color w:val="000000"/>
          <w:spacing w:val="-8"/>
          <w:sz w:val="30"/>
          <w:szCs w:val="30"/>
        </w:rPr>
        <w:lastRenderedPageBreak/>
        <w:t>额合计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，</w:t>
      </w:r>
      <w:r>
        <w:rPr>
          <w:rFonts w:ascii="仿宋" w:eastAsia="仿宋" w:hAnsi="仿宋" w:cs="仿宋" w:hint="eastAsia"/>
          <w:b/>
          <w:color w:val="000000"/>
          <w:spacing w:val="-8"/>
          <w:sz w:val="30"/>
          <w:szCs w:val="30"/>
        </w:rPr>
        <w:t>而不是造价咨询收入总额合计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。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568"/>
        <w:outlineLvl w:val="0"/>
        <w:rPr>
          <w:rFonts w:ascii="黑体" w:eastAsia="黑体" w:hAnsi="黑体" w:cs="仿宋"/>
          <w:color w:val="000000"/>
          <w:spacing w:val="-8"/>
          <w:sz w:val="30"/>
          <w:szCs w:val="30"/>
        </w:rPr>
      </w:pPr>
      <w:r>
        <w:rPr>
          <w:rFonts w:ascii="黑体" w:eastAsia="黑体" w:hAnsi="黑体" w:cs="仿宋" w:hint="eastAsia"/>
          <w:color w:val="000000"/>
          <w:spacing w:val="-8"/>
          <w:sz w:val="30"/>
          <w:szCs w:val="30"/>
        </w:rPr>
        <w:t>四、（四）工程造价咨询企业财务状况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568"/>
        <w:rPr>
          <w:rFonts w:ascii="仿宋" w:eastAsia="仿宋" w:hAnsi="仿宋" w:cs="仿宋"/>
          <w:color w:val="000000"/>
          <w:spacing w:val="-8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、表中</w:t>
      </w:r>
      <w:r>
        <w:rPr>
          <w:rFonts w:ascii="仿宋" w:eastAsia="仿宋" w:hAnsi="仿宋" w:cs="仿宋" w:hint="eastAsia"/>
          <w:b/>
          <w:bCs/>
          <w:color w:val="000000"/>
          <w:spacing w:val="-8"/>
          <w:sz w:val="30"/>
          <w:szCs w:val="30"/>
        </w:rPr>
        <w:t>一、营业收入合计中的“</w:t>
      </w:r>
      <w:r>
        <w:rPr>
          <w:rFonts w:ascii="仿宋" w:eastAsia="仿宋" w:hAnsi="仿宋" w:cs="仿宋"/>
          <w:b/>
          <w:bCs/>
          <w:color w:val="000000"/>
          <w:spacing w:val="-8"/>
          <w:sz w:val="30"/>
          <w:szCs w:val="30"/>
        </w:rPr>
        <w:t>工程造价咨询营业收入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”（代码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79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）指报告</w:t>
      </w:r>
      <w:proofErr w:type="gramStart"/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期末企业</w:t>
      </w:r>
      <w:proofErr w:type="gramEnd"/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经营工程造价咨询业务所取得的收入。在企业的年度财务会计报告损益表（或年度审计报告）中须注明</w:t>
      </w:r>
      <w:r>
        <w:rPr>
          <w:rFonts w:ascii="仿宋" w:eastAsia="仿宋" w:hAnsi="仿宋" w:cs="仿宋"/>
          <w:b/>
          <w:bCs/>
          <w:color w:val="000000"/>
          <w:spacing w:val="-8"/>
          <w:sz w:val="30"/>
          <w:szCs w:val="30"/>
        </w:rPr>
        <w:t>工程造价咨询营业收入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。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568"/>
        <w:rPr>
          <w:rFonts w:ascii="仿宋" w:eastAsia="仿宋" w:hAnsi="仿宋" w:cs="仿宋"/>
          <w:color w:val="000000"/>
          <w:spacing w:val="-8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2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、表中“</w:t>
      </w:r>
      <w:r>
        <w:rPr>
          <w:rFonts w:ascii="仿宋" w:eastAsia="仿宋" w:hAnsi="仿宋" w:cs="仿宋" w:hint="eastAsia"/>
          <w:b/>
          <w:bCs/>
          <w:color w:val="000000"/>
          <w:spacing w:val="-8"/>
          <w:sz w:val="30"/>
          <w:szCs w:val="30"/>
        </w:rPr>
        <w:t>三、税金及附加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”（代码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82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）</w:t>
      </w:r>
      <w:r>
        <w:rPr>
          <w:rFonts w:ascii="仿宋" w:eastAsia="仿宋" w:hAnsi="仿宋" w:cs="Arial Unicode MS" w:hint="eastAsia"/>
          <w:sz w:val="30"/>
          <w:szCs w:val="30"/>
        </w:rPr>
        <w:t>中的附加应包含企业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“</w:t>
      </w:r>
      <w:r>
        <w:rPr>
          <w:rFonts w:ascii="仿宋" w:eastAsia="仿宋" w:hAnsi="仿宋" w:cs="Arial Unicode MS" w:hint="eastAsia"/>
          <w:sz w:val="30"/>
          <w:szCs w:val="30"/>
        </w:rPr>
        <w:t>营改增</w:t>
      </w:r>
      <w:r>
        <w:rPr>
          <w:rFonts w:ascii="仿宋" w:eastAsia="仿宋" w:hAnsi="仿宋" w:cs="Arial Unicode MS"/>
          <w:sz w:val="30"/>
          <w:szCs w:val="30"/>
        </w:rPr>
        <w:t>”</w:t>
      </w:r>
      <w:r>
        <w:rPr>
          <w:rFonts w:ascii="仿宋" w:eastAsia="仿宋" w:hAnsi="仿宋" w:cs="Arial Unicode MS" w:hint="eastAsia"/>
          <w:sz w:val="30"/>
          <w:szCs w:val="30"/>
        </w:rPr>
        <w:t>以后缴纳的附加金额。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568"/>
        <w:rPr>
          <w:rFonts w:ascii="仿宋" w:eastAsia="仿宋" w:hAnsi="仿宋" w:cs="Arial Unicode MS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3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、表中“四、</w:t>
      </w:r>
      <w:r>
        <w:rPr>
          <w:rFonts w:ascii="仿宋" w:eastAsia="仿宋" w:hAnsi="仿宋" w:cs="仿宋" w:hint="eastAsia"/>
          <w:b/>
          <w:color w:val="000000"/>
          <w:spacing w:val="-8"/>
          <w:sz w:val="30"/>
          <w:szCs w:val="30"/>
        </w:rPr>
        <w:t>管理费用，其中：税金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”（代码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84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），</w:t>
      </w:r>
      <w:r>
        <w:rPr>
          <w:rFonts w:ascii="仿宋" w:eastAsia="仿宋" w:hAnsi="仿宋" w:cs="Arial Unicode MS" w:hint="eastAsia"/>
          <w:sz w:val="30"/>
          <w:szCs w:val="30"/>
        </w:rPr>
        <w:t>指企业按照规定从管理费用中支付的房产税、印花税、车船使用税和土地使用税。根据“管理费用明细账”中“管理费用—税金”的期末借方余额分析填报。</w:t>
      </w:r>
    </w:p>
    <w:p w:rsidR="005E6016" w:rsidRDefault="00715E00">
      <w:pPr>
        <w:pStyle w:val="a6"/>
        <w:widowControl w:val="0"/>
        <w:adjustRightInd w:val="0"/>
        <w:snapToGrid w:val="0"/>
        <w:spacing w:before="0" w:beforeAutospacing="0" w:after="0" w:afterAutospacing="0" w:line="540" w:lineRule="exact"/>
        <w:ind w:firstLineChars="200" w:firstLine="568"/>
        <w:rPr>
          <w:rFonts w:ascii="仿宋" w:eastAsia="仿宋" w:hAnsi="仿宋" w:cs="仿宋"/>
          <w:color w:val="FF0000"/>
          <w:spacing w:val="-8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4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、表中“七、</w:t>
      </w:r>
      <w:r>
        <w:rPr>
          <w:rFonts w:ascii="仿宋" w:eastAsia="仿宋" w:hAnsi="仿宋" w:cs="仿宋" w:hint="eastAsia"/>
          <w:b/>
          <w:color w:val="000000"/>
          <w:spacing w:val="-8"/>
          <w:sz w:val="30"/>
          <w:szCs w:val="30"/>
        </w:rPr>
        <w:t>应付职工薪酬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”（代码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88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）（应理解为“全公司职工薪</w:t>
      </w:r>
      <w:proofErr w:type="gramStart"/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酬</w:t>
      </w:r>
      <w:proofErr w:type="gramEnd"/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总额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=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年度已付薪酬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+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应付未付薪酬”）</w:t>
      </w:r>
      <w:r>
        <w:rPr>
          <w:rFonts w:ascii="仿宋" w:eastAsia="仿宋" w:hAnsi="仿宋" w:cs="Arial Unicode MS" w:hint="eastAsia"/>
          <w:sz w:val="30"/>
          <w:szCs w:val="30"/>
        </w:rPr>
        <w:t xml:space="preserve"> </w:t>
      </w:r>
      <w:r>
        <w:rPr>
          <w:rFonts w:ascii="仿宋" w:eastAsia="仿宋" w:hAnsi="仿宋" w:cs="Arial Unicode MS" w:hint="eastAsia"/>
          <w:sz w:val="30"/>
          <w:szCs w:val="30"/>
        </w:rPr>
        <w:t>包括职工工资、奖金、津贴和补贴，职工福利费，医疗保险费、养老保险费、失业保险费、工伤保险费和生育保险费等社会保险费，住房公积金，工会经费和职工教育经费</w:t>
      </w:r>
      <w:r>
        <w:rPr>
          <w:rFonts w:ascii="仿宋" w:eastAsia="仿宋" w:hAnsi="仿宋" w:cs="仿宋" w:hint="eastAsia"/>
          <w:sz w:val="30"/>
          <w:szCs w:val="30"/>
        </w:rPr>
        <w:t>，非货币性福利，因解除与职工的劳动关系给予的补偿，其他与获得职工提供的服务相关的支</w:t>
      </w:r>
      <w:r>
        <w:rPr>
          <w:rFonts w:ascii="仿宋" w:eastAsia="仿宋" w:hAnsi="仿宋" w:cs="仿宋" w:hint="eastAsia"/>
          <w:sz w:val="30"/>
          <w:szCs w:val="30"/>
        </w:rPr>
        <w:t>出。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执行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2006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年《企业会计准则》的企业，根据会计科目“应付职工薪酬”的本年贷方累计发生额填报；未执行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2006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年《企业会计准则》的企业，应将本年上述职工薪</w:t>
      </w:r>
      <w:proofErr w:type="gramStart"/>
      <w:r>
        <w:rPr>
          <w:rFonts w:ascii="仿宋" w:eastAsia="仿宋" w:hAnsi="仿宋" w:cs="仿宋" w:hint="eastAsia"/>
          <w:color w:val="FF0000"/>
          <w:sz w:val="30"/>
          <w:szCs w:val="30"/>
        </w:rPr>
        <w:t>酬</w:t>
      </w:r>
      <w:proofErr w:type="gramEnd"/>
      <w:r>
        <w:rPr>
          <w:rFonts w:ascii="仿宋" w:eastAsia="仿宋" w:hAnsi="仿宋" w:cs="仿宋" w:hint="eastAsia"/>
          <w:color w:val="FF0000"/>
          <w:sz w:val="30"/>
          <w:szCs w:val="30"/>
        </w:rPr>
        <w:t>包括的科目归并填报。</w:t>
      </w:r>
    </w:p>
    <w:p w:rsidR="005E6016" w:rsidRDefault="00715E00">
      <w:pPr>
        <w:spacing w:line="540" w:lineRule="exact"/>
        <w:ind w:firstLine="536"/>
        <w:rPr>
          <w:rFonts w:ascii="仿宋" w:eastAsia="仿宋" w:hAnsi="仿宋" w:cs="仿宋"/>
          <w:color w:val="000000"/>
          <w:spacing w:val="-8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本表应根据企业财务审计报告填写。企业财务审计报告（复印件，加盖公章）须和企业统计报表（加盖公章）一同报送造价部门。若报送时企业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2019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年度财务审计报告未出，可用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2019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年企业</w:t>
      </w:r>
      <w:r>
        <w:rPr>
          <w:rFonts w:ascii="仿宋" w:eastAsia="仿宋" w:hAnsi="仿宋" w:cs="仿宋" w:hint="eastAsia"/>
          <w:b/>
          <w:bCs/>
          <w:color w:val="000000"/>
          <w:spacing w:val="-8"/>
          <w:sz w:val="30"/>
          <w:szCs w:val="30"/>
        </w:rPr>
        <w:t>资产损益表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替代。</w:t>
      </w:r>
    </w:p>
    <w:p w:rsidR="005E6016" w:rsidRDefault="00715E00">
      <w:pPr>
        <w:spacing w:line="540" w:lineRule="exact"/>
        <w:ind w:firstLine="536"/>
        <w:rPr>
          <w:rFonts w:ascii="仿宋" w:eastAsia="仿宋" w:hAnsi="仿宋" w:cs="仿宋"/>
          <w:color w:val="FF0000"/>
          <w:spacing w:val="-8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lastRenderedPageBreak/>
        <w:t>5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、表中</w:t>
      </w:r>
      <w:r>
        <w:rPr>
          <w:rFonts w:ascii="仿宋" w:eastAsia="仿宋" w:hAnsi="仿宋" w:cs="仿宋" w:hint="eastAsia"/>
          <w:b/>
          <w:color w:val="000000"/>
          <w:spacing w:val="-8"/>
          <w:sz w:val="30"/>
          <w:szCs w:val="30"/>
        </w:rPr>
        <w:t>本年应交增值税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（代码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102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），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color w:val="FF0000"/>
          <w:spacing w:val="-8"/>
          <w:sz w:val="30"/>
          <w:szCs w:val="30"/>
        </w:rPr>
        <w:t>填报本指标时，应按权责发生制核算企业本期应负担的增值税。</w:t>
      </w:r>
    </w:p>
    <w:p w:rsidR="005E6016" w:rsidRDefault="00715E00">
      <w:pPr>
        <w:spacing w:line="540" w:lineRule="exact"/>
        <w:ind w:firstLine="536"/>
        <w:rPr>
          <w:rFonts w:ascii="仿宋" w:eastAsia="仿宋" w:hAnsi="仿宋" w:cs="仿宋"/>
          <w:color w:val="000000"/>
          <w:spacing w:val="-8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税额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应该与企业年度营业收入有相应的逻辑关系（应交增值税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=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营业收入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*</w:t>
      </w:r>
      <w:r>
        <w:rPr>
          <w:rFonts w:ascii="仿宋" w:eastAsia="仿宋" w:hAnsi="仿宋" w:cs="仿宋" w:hint="eastAsia"/>
          <w:color w:val="000000"/>
          <w:spacing w:val="-8"/>
          <w:sz w:val="30"/>
          <w:szCs w:val="30"/>
        </w:rPr>
        <w:t>增值税率），若有减免、抵扣或核定的增值税率在统计年度内有变化，应在审计报告或企业财务报表中有相应说明。</w:t>
      </w: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p w:rsidR="001045F2" w:rsidRDefault="001045F2">
      <w:pPr>
        <w:pStyle w:val="a6"/>
        <w:adjustRightInd w:val="0"/>
        <w:snapToGrid w:val="0"/>
        <w:spacing w:beforeAutospacing="0" w:afterAutospacing="0" w:line="600" w:lineRule="exact"/>
        <w:ind w:left="5760" w:hangingChars="1800" w:hanging="5760"/>
        <w:rPr>
          <w:rFonts w:ascii="仿宋" w:eastAsia="仿宋" w:hAnsi="仿宋" w:hint="eastAsia"/>
          <w:color w:val="000000"/>
          <w:sz w:val="32"/>
          <w:szCs w:val="32"/>
        </w:rPr>
      </w:pPr>
    </w:p>
    <w:sectPr w:rsidR="001045F2" w:rsidSect="005E6016">
      <w:footerReference w:type="default" r:id="rId7"/>
      <w:pgSz w:w="11906" w:h="16838"/>
      <w:pgMar w:top="2098" w:right="1474" w:bottom="2098" w:left="1474" w:header="1701" w:footer="170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E00" w:rsidRDefault="00715E00" w:rsidP="005E6016">
      <w:r>
        <w:separator/>
      </w:r>
    </w:p>
  </w:endnote>
  <w:endnote w:type="continuationSeparator" w:id="0">
    <w:p w:rsidR="00715E00" w:rsidRDefault="00715E00" w:rsidP="005E6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85516"/>
      <w:docPartObj>
        <w:docPartGallery w:val="AutoText"/>
      </w:docPartObj>
    </w:sdtPr>
    <w:sdtContent>
      <w:p w:rsidR="005E6016" w:rsidRDefault="005E6016">
        <w:pPr>
          <w:pStyle w:val="a4"/>
          <w:jc w:val="right"/>
        </w:pPr>
        <w:r w:rsidRPr="005E6016">
          <w:fldChar w:fldCharType="begin"/>
        </w:r>
        <w:r w:rsidR="00715E00">
          <w:instrText xml:space="preserve"> PAGE   \* MERGEFORMAT </w:instrText>
        </w:r>
        <w:r w:rsidRPr="005E6016">
          <w:fldChar w:fldCharType="separate"/>
        </w:r>
        <w:r w:rsidR="001045F2" w:rsidRPr="001045F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E6016" w:rsidRDefault="005E60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E00" w:rsidRDefault="00715E00" w:rsidP="005E6016">
      <w:r>
        <w:separator/>
      </w:r>
    </w:p>
  </w:footnote>
  <w:footnote w:type="continuationSeparator" w:id="0">
    <w:p w:rsidR="00715E00" w:rsidRDefault="00715E00" w:rsidP="005E6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581799"/>
    <w:rsid w:val="000369BB"/>
    <w:rsid w:val="0007742D"/>
    <w:rsid w:val="000D0EDC"/>
    <w:rsid w:val="001045F2"/>
    <w:rsid w:val="001150C4"/>
    <w:rsid w:val="0012624C"/>
    <w:rsid w:val="00126790"/>
    <w:rsid w:val="002222C8"/>
    <w:rsid w:val="003612EC"/>
    <w:rsid w:val="00395C22"/>
    <w:rsid w:val="004636C4"/>
    <w:rsid w:val="004B2826"/>
    <w:rsid w:val="004D1145"/>
    <w:rsid w:val="004F166A"/>
    <w:rsid w:val="00513993"/>
    <w:rsid w:val="005158A4"/>
    <w:rsid w:val="005571AC"/>
    <w:rsid w:val="00564135"/>
    <w:rsid w:val="005A26DA"/>
    <w:rsid w:val="005C120F"/>
    <w:rsid w:val="005E6016"/>
    <w:rsid w:val="00715E00"/>
    <w:rsid w:val="0083496F"/>
    <w:rsid w:val="00901A00"/>
    <w:rsid w:val="00983634"/>
    <w:rsid w:val="009C72A9"/>
    <w:rsid w:val="00A415FA"/>
    <w:rsid w:val="00AC39BE"/>
    <w:rsid w:val="00AC71D4"/>
    <w:rsid w:val="00AD508D"/>
    <w:rsid w:val="00C12647"/>
    <w:rsid w:val="00CB005D"/>
    <w:rsid w:val="00CC3D51"/>
    <w:rsid w:val="00CD3CF2"/>
    <w:rsid w:val="00D6743A"/>
    <w:rsid w:val="00E11E33"/>
    <w:rsid w:val="00E41A29"/>
    <w:rsid w:val="00E86AAB"/>
    <w:rsid w:val="00EB71AE"/>
    <w:rsid w:val="00F37562"/>
    <w:rsid w:val="00FC00F6"/>
    <w:rsid w:val="00FE7153"/>
    <w:rsid w:val="364219D3"/>
    <w:rsid w:val="38971C4A"/>
    <w:rsid w:val="3DB00FE1"/>
    <w:rsid w:val="498D5F47"/>
    <w:rsid w:val="4E6C7325"/>
    <w:rsid w:val="51E3254E"/>
    <w:rsid w:val="57581799"/>
    <w:rsid w:val="66436E0F"/>
    <w:rsid w:val="7B36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01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5E601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E6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5E6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E60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qFormat/>
    <w:rsid w:val="005E601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E601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5E601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</Words>
  <Characters>1110</Characters>
  <Application>Microsoft Office Word</Application>
  <DocSecurity>0</DocSecurity>
  <Lines>9</Lines>
  <Paragraphs>2</Paragraphs>
  <ScaleCrop>false</ScaleCrop>
  <Company>scszjz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fuzhengping</dc:creator>
  <cp:lastModifiedBy>ZjzBGS2017F</cp:lastModifiedBy>
  <cp:revision>5</cp:revision>
  <cp:lastPrinted>2019-12-24T07:23:00Z</cp:lastPrinted>
  <dcterms:created xsi:type="dcterms:W3CDTF">2019-12-24T07:24:00Z</dcterms:created>
  <dcterms:modified xsi:type="dcterms:W3CDTF">2020-01-13T09:11:00Z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